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3E8FA3"/>
          <w:spacing w:val="30"/>
          <w:sz w:val="17"/>
          <w:szCs w:val="17"/>
        </w:rPr>
        <w:t xml:space="preserve">TECHNOLOGY — USE CURRENT INTEGRATIONS  │  ONE-PAGER 29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3A4F"/>
          <w:sz w:val="40"/>
          <w:szCs w:val="40"/>
        </w:rPr>
        <w:t xml:space="preserve">Minimizing Custom Development</w:t>
      </w:r>
    </w:p>
    <w:p>
      <w:pPr>
        <w:pBdr>
          <w:bottom w:val="single" w:color="1B6B7C" w:sz="12" w:space="8"/>
        </w:pBdr>
        <w:spacing w:after="200"/>
      </w:pPr>
      <w:r>
        <w:rPr>
          <w:rFonts w:ascii="Calibri" w:cs="Calibri" w:eastAsia="Calibri" w:hAnsi="Calibri"/>
          <w:i/>
          <w:iCs/>
          <w:color w:val="5A6B73"/>
          <w:sz w:val="21"/>
          <w:szCs w:val="21"/>
        </w:rPr>
        <w:t xml:space="preserve">At studio volume, manual usually beats built — and deliberately so.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 hold the line on custom development during the 90 days. Custom code is the change most likely to survive a no-go as pure sunk cost, the slowest thing to build, and the hardest to reverse. It is also where studios quietly lose weeks: not to one large build, but to a series of small, individually reasonable conveniences. This document gives the test to apply and the alternatives to reach for first.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OWNER &amp; RACI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182"/>
        <w:gridCol w:w="3744"/>
        <w:gridCol w:w="2434"/>
      </w:tblGrid>
      <w:tr>
        <w:trPr>
          <w:tblHeader/>
        </w:trPr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4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(fill in at G0)</w:t>
            </w:r>
          </w:p>
        </w:tc>
        <w:tc>
          <w:tcPr>
            <w:tcW w:type="dxa" w:w="243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 / A / C / I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/ Engineering lead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owns the build decision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holds the discipline day to day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Enterprise architecture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long-term coupling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Finance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build cost vs. studio value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Steering Committee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approves exceptions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DECISIONS THIS DOCUMENT MAKES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order of preference is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configure, then integrate, then extend, then build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Building is the last resort, not the default engineering instinct.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At studio volume — roughly 200 loans over 90 days —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 manual process usually beats a built one.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 spreadsheet maintained by a named person is faster to stand up, easier to change, and free to discard.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Nothing is automated before it has been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done manually and understood.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Automating a process we cannot yet articulate encodes the misunderstanding and is expensive to unwind.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custom build is entered in the change register with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removal path and cost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(one-pager 22), and Jazz-specific builds require Steering approval by exception.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Custom work to compensate for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poor source data quality is redirected to fixing the data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which is no-regret work (one-pager 17).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THE FRAMEWORK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The hierarchy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1497"/>
        <w:gridCol w:w="2620"/>
        <w:gridCol w:w="2995"/>
        <w:gridCol w:w="2248"/>
      </w:tblGrid>
      <w:tr>
        <w:trPr>
          <w:tblHeader/>
        </w:trPr>
        <w:tc>
          <w:tcPr>
            <w:tcW w:type="dxa" w:w="1497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Option</w:t>
            </w:r>
          </w:p>
        </w:tc>
        <w:tc>
          <w:tcPr>
            <w:tcW w:type="dxa" w:w="262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Means</w:t>
            </w:r>
          </w:p>
        </w:tc>
        <w:tc>
          <w:tcPr>
            <w:tcW w:type="dxa" w:w="2995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Try this first when</w:t>
            </w:r>
          </w:p>
        </w:tc>
        <w:tc>
          <w:tcPr>
            <w:tcW w:type="dxa" w:w="224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 of reversal</w:t>
            </w:r>
          </w:p>
        </w:tc>
      </w:tr>
      <w:tr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Configure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Settings in a system we already run</w:t>
            </w:r>
          </w:p>
        </w:tc>
        <w:tc>
          <w:tcPr>
            <w:tcW w:type="dxa" w:w="299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Always — exhaust this before anything else</w:t>
            </w:r>
          </w:p>
        </w:tc>
        <w:tc>
          <w:tcPr>
            <w:tcW w:type="dxa" w:w="22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Minutes</w:t>
            </w:r>
          </w:p>
        </w:tc>
      </w:tr>
      <w:tr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Do it manually</w:t>
            </w:r>
          </w:p>
        </w:tc>
        <w:tc>
          <w:tcPr>
            <w:tcW w:type="dxa" w:w="262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person, a spreadsheet, a defined procedure</w:t>
            </w:r>
          </w:p>
        </w:tc>
        <w:tc>
          <w:tcPr>
            <w:tcW w:type="dxa" w:w="299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Volume is under a few hundred and the process is still being understood</w:t>
            </w:r>
          </w:p>
        </w:tc>
        <w:tc>
          <w:tcPr>
            <w:tcW w:type="dxa" w:w="224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None</w:t>
            </w:r>
          </w:p>
        </w:tc>
      </w:tr>
      <w:tr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Integrate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Connect existing capabilities with thin, standard plumbing</w:t>
            </w:r>
          </w:p>
        </w:tc>
        <w:tc>
          <w:tcPr>
            <w:tcW w:type="dxa" w:w="299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Two systems that already exist need to exchange data</w:t>
            </w:r>
          </w:p>
        </w:tc>
        <w:tc>
          <w:tcPr>
            <w:tcW w:type="dxa" w:w="22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Days</w:t>
            </w:r>
          </w:p>
        </w:tc>
      </w:tr>
      <w:tr>
        <w:tc>
          <w:tcPr>
            <w:tcW w:type="dxa" w:w="1497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Extend</w:t>
            </w:r>
          </w:p>
        </w:tc>
        <w:tc>
          <w:tcPr>
            <w:tcW w:type="dxa" w:w="262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Use the product’s own extension points</w:t>
            </w:r>
          </w:p>
        </w:tc>
        <w:tc>
          <w:tcPr>
            <w:tcW w:type="dxa" w:w="299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capability exists but needs shaping to our process</w:t>
            </w:r>
          </w:p>
        </w:tc>
        <w:tc>
          <w:tcPr>
            <w:tcW w:type="dxa" w:w="224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Days to weeks</w:t>
            </w:r>
          </w:p>
        </w:tc>
      </w:tr>
      <w:tr>
        <w:tc>
          <w:tcPr>
            <w:tcW w:type="dxa" w:w="149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Build</w:t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New custom code we own and maintain</w:t>
            </w:r>
          </w:p>
        </w:tc>
        <w:tc>
          <w:tcPr>
            <w:tcW w:type="dxa" w:w="299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Nothing above works and the studio genuinely cannot run without it</w:t>
            </w:r>
          </w:p>
        </w:tc>
        <w:tc>
          <w:tcPr>
            <w:tcW w:type="dxa" w:w="22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Weeks, plus permanent maintenance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Why manual wins at studio scale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Engineering instinct says automate the repetitive thing. At 200 loans over 90 days that instinct is usually wrong, and the arithmetic is worth doing out loud: a task taking three minutes per loan costs ten hours across the whole studio. Almost nothing can be built, tested and maintained for ten hours of effort.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manual version also has a property the built version lacks — it can change on Monday morning when the weekly loop decides the process was wrong. During a studio, where the process is explicitly still being learned, that flexibility is worth more than the efficiency.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Compute the total manual cost across 90 days before proposing a build — it is usually smaller than expected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manual process makes the work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visible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which is exactly what a studio is trying to observe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Manual steps are where the friction is felt, and felt friction is what drives good tuning priorities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If the studio scales, the manual process is the specification for what to build — written by people who have actually done it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Where custom development creeps in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Creeps in as</w:t>
            </w:r>
          </w:p>
        </w:tc>
        <w:tc>
          <w:tcPr>
            <w:tcW w:type="dxa" w:w="542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Reach for instead</w:t>
            </w:r>
          </w:p>
        </w:tc>
      </w:tr>
      <w:tr>
        <w:tc>
          <w:tcPr>
            <w:tcW w:type="dxa" w:w="39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script to reformat data because the extraction is awkward</w:t>
            </w:r>
          </w:p>
        </w:tc>
        <w:tc>
          <w:tcPr>
            <w:tcW w:type="dxa" w:w="542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Fix the extraction specification, or accept the format and handle it in Jazz configuration</w:t>
            </w:r>
          </w:p>
        </w:tc>
      </w:tr>
      <w:tr>
        <w:tc>
          <w:tcPr>
            <w:tcW w:type="dxa" w:w="393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workaround for poor document quality</w:t>
            </w:r>
          </w:p>
        </w:tc>
        <w:tc>
          <w:tcPr>
            <w:tcW w:type="dxa" w:w="542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Fix capture quality at the source — no-regret work that pays back regardless of the outcome</w:t>
            </w:r>
          </w:p>
        </w:tc>
      </w:tr>
      <w:tr>
        <w:tc>
          <w:tcPr>
            <w:tcW w:type="dxa" w:w="39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dashboard to view studio metrics</w:t>
            </w:r>
          </w:p>
        </w:tc>
        <w:tc>
          <w:tcPr>
            <w:tcW w:type="dxa" w:w="542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spreadsheet from the analyst’s export, refreshed weekly for the feedback loop</w:t>
            </w:r>
          </w:p>
        </w:tc>
      </w:tr>
      <w:tr>
        <w:tc>
          <w:tcPr>
            <w:tcW w:type="dxa" w:w="393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Tooling to manage the comparison log</w:t>
            </w:r>
          </w:p>
        </w:tc>
        <w:tc>
          <w:tcPr>
            <w:tcW w:type="dxa" w:w="542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structured spreadsheet or existing form tooling; the log is a data artifact, not a product</w:t>
            </w:r>
          </w:p>
        </w:tc>
      </w:tr>
      <w:tr>
        <w:tc>
          <w:tcPr>
            <w:tcW w:type="dxa" w:w="39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Bulk operations for the holdout and regression runs</w:t>
            </w:r>
          </w:p>
        </w:tc>
        <w:tc>
          <w:tcPr>
            <w:tcW w:type="dxa" w:w="542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Manual runs by the analyst; they happen three times in 90 days</w:t>
            </w:r>
          </w:p>
        </w:tc>
      </w:tr>
      <w:tr>
        <w:tc>
          <w:tcPr>
            <w:tcW w:type="dxa" w:w="393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UI convenience for underwriters</w:t>
            </w:r>
          </w:p>
        </w:tc>
        <w:tc>
          <w:tcPr>
            <w:tcW w:type="dxa" w:w="542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Accept the friction, measure it, and put it in the scale business case where it belongs</w:t>
            </w:r>
          </w:p>
        </w:tc>
      </w:tr>
      <w:tr>
        <w:tc>
          <w:tcPr>
            <w:tcW w:type="dxa" w:w="393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Mapping logic between condition taxonomies</w:t>
            </w:r>
          </w:p>
        </w:tc>
        <w:tc>
          <w:tcPr>
            <w:tcW w:type="dxa" w:w="542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maintained mapping table owned by Underwriting (one-pager 21) — data, not code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Where custom development is legitimate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Some build is unavoidable; the discipline is keeping the list short, thin and reversible rather than pretending it can be zero.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trigger and cohort tagging (one-pager 19) — thin, and it is what makes the sample defensible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extraction path (one-pager 20) — the studio cannot run without it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Event instrumentation for the baseline (one-pager 06) — no-regret; worth keeping regardless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Reconciliation checks on extraction fidelity — small, and they prevent a whole class of wasted tuning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kill switch (one-pager 28) — non-negotiable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ARTIFACTS &amp; TEMPLATES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The build test — answer before writing any code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4305"/>
        <w:gridCol w:w="5055"/>
      </w:tblGrid>
      <w:tr>
        <w:trPr>
          <w:tblHeader/>
        </w:trPr>
        <w:tc>
          <w:tcPr>
            <w:tcW w:type="dxa" w:w="4305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055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If the answer is...</w:t>
            </w:r>
          </w:p>
        </w:tc>
      </w:tr>
      <w:tr>
        <w:tc>
          <w:tcPr>
            <w:tcW w:type="dxa" w:w="43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Can this be configured in a system we already run?</w:t>
            </w:r>
          </w:p>
        </w:tc>
        <w:tc>
          <w:tcPr>
            <w:tcW w:type="dxa" w:w="505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Yes → configure. Stop here.</w:t>
            </w:r>
          </w:p>
        </w:tc>
      </w:tr>
      <w:tr>
        <w:tc>
          <w:tcPr>
            <w:tcW w:type="dxa" w:w="430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What does doing it manually cost across the full 90 days?</w:t>
            </w:r>
          </w:p>
        </w:tc>
        <w:tc>
          <w:tcPr>
            <w:tcW w:type="dxa" w:w="505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Under ~20 hours → do it manually</w:t>
            </w:r>
          </w:p>
        </w:tc>
      </w:tr>
      <w:tr>
        <w:tc>
          <w:tcPr>
            <w:tcW w:type="dxa" w:w="43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Have we done it manually at least once and understood it?</w:t>
            </w:r>
          </w:p>
        </w:tc>
        <w:tc>
          <w:tcPr>
            <w:tcW w:type="dxa" w:w="505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 → do that first; automating an unclear process encodes the confusion</w:t>
            </w:r>
          </w:p>
        </w:tc>
      </w:tr>
      <w:tr>
        <w:tc>
          <w:tcPr>
            <w:tcW w:type="dxa" w:w="430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Would we keep this if Jazz went away?</w:t>
            </w:r>
          </w:p>
        </w:tc>
        <w:tc>
          <w:tcPr>
            <w:tcW w:type="dxa" w:w="505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 → Steering approval required (one-pager 22)</w:t>
            </w:r>
          </w:p>
        </w:tc>
      </w:tr>
      <w:tr>
        <w:tc>
          <w:tcPr>
            <w:tcW w:type="dxa" w:w="430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Can it be removed in under a day?</w:t>
            </w:r>
          </w:p>
        </w:tc>
        <w:tc>
          <w:tcPr>
            <w:tcW w:type="dxa" w:w="505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 → reduce the scope until it can</w:t>
            </w:r>
          </w:p>
        </w:tc>
      </w:tr>
      <w:tr>
        <w:tc>
          <w:tcPr>
            <w:tcW w:type="dxa" w:w="430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Who maintains it after Day 90?</w:t>
            </w:r>
          </w:p>
        </w:tc>
        <w:tc>
          <w:tcPr>
            <w:tcW w:type="dxa" w:w="5055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Nobody → do not build it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Custom development register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246"/>
        <w:gridCol w:w="2620"/>
        <w:gridCol w:w="1123"/>
        <w:gridCol w:w="1872"/>
        <w:gridCol w:w="1499"/>
      </w:tblGrid>
      <w:tr>
        <w:trPr>
          <w:tblHeader/>
        </w:trPr>
        <w:tc>
          <w:tcPr>
            <w:tcW w:type="dxa" w:w="224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62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not configure or manual?</w:t>
            </w:r>
          </w:p>
        </w:tc>
        <w:tc>
          <w:tcPr>
            <w:tcW w:type="dxa" w:w="1123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87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Removal path</w:t>
            </w:r>
          </w:p>
        </w:tc>
        <w:tc>
          <w:tcPr>
            <w:tcW w:type="dxa" w:w="149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1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62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12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6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1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8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149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160" w:before="80"/>
      </w:pPr>
      <w:r>
        <w:rPr>
          <w:rFonts w:ascii="Calibri" w:cs="Calibri" w:eastAsia="Calibri" w:hAnsi="Calibri"/>
          <w:i/>
          <w:iCs/>
          <w:color w:val="5A6B73"/>
          <w:sz w:val="18"/>
          <w:szCs w:val="18"/>
        </w:rPr>
        <w:t xml:space="preserve">Feeds the change register in one-pager 22 and the stranded-cost figure presented at Gate 4.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CADENCE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059"/>
        <w:gridCol w:w="4492"/>
        <w:gridCol w:w="2809"/>
      </w:tblGrid>
      <w:tr>
        <w:trPr>
          <w:tblHeader/>
        </w:trPr>
        <w:tc>
          <w:tcPr>
            <w:tcW w:type="dxa" w:w="205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449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80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At G0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Hierarchy and build test agreed with IT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Shared discipline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Weekly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Any proposed build tested against the six questions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Build decisions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Biweekly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Custom development register reviewed with IT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Footprint control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Day 45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Manual processes reviewed — any now worth building for scale?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Scale input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Day 80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Register totalled into the stranded-cost figure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Gate 4 input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Build test applied and recorded for every custom item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Manual alternatives costed across 90 days before any build was approved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Custom register maintained with removal paths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automation of a process that had not first been performed manually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quality problems fixed at source rather than coded around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RISKS &amp; ESCALATION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808"/>
        <w:gridCol w:w="4212"/>
        <w:gridCol w:w="2340"/>
      </w:tblGrid>
      <w:tr>
        <w:trPr>
          <w:tblHeader/>
        </w:trPr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21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34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Escalates to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Small conveniences accumulate into a significant custom footprint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Every build passes the six-question test; register reviewed biweekly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lead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process is automated before it is understood, encoding the misunderstanding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Manual-first rule; no automation without a performed manual run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Engineering builds tooling because the manual work feels undignified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Total manual cost computed explicitly; ten hours rarely justifies a build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lead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Custom code written to compensate for bad source data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Redirected to source data remediation as no-regret work (one-pager 17)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lead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Built tooling has no owner after Day 90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Maintenance ownership named before approval, or the item is not built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lead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C" w:sz="4" w:space="6"/>
      </w:pBdr>
    </w:pPr>
    <w:r>
      <w:rPr>
        <w:rFonts w:ascii="Calibri" w:cs="Calibri" w:eastAsia="Calibri" w:hAnsi="Calibri"/>
        <w:color w:val="5A6B73"/>
        <w:sz w:val="16"/>
        <w:szCs w:val="16"/>
      </w:rPr>
      <w:t xml:space="preserve">JazzX Design Studio — 90-Day Framework  │  Minimizing Custom Development   </w:t>
    </w:r>
    <w:r>
      <w:rPr>
        <w:rFonts w:ascii="Calibri" w:cs="Calibri" w:eastAsia="Calibri" w:hAnsi="Calibri"/>
        <w:color w:val="5A6B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59"/>
      </w:pPr>
      <w:rPr>
        <w:color w:val="1B6B7C"/>
        <w:sz w:val="21"/>
        <w:szCs w:val="21"/>
      </w:rPr>
    </w:lvl>
    <w:lvl w:ilvl="1" w15:tentative="1">
      <w:start w:val="1"/>
      <w:numFmt w:val="bullet"/>
      <w:lvlText w:val="○"/>
      <w:lvlJc w:val="left"/>
      <w:pPr>
        <w:ind w:left="763" w:hanging="259"/>
      </w:pPr>
      <w:rPr>
        <w:color w:val="5A6B73"/>
        <w:sz w:val="21"/>
        <w:szCs w:val="21"/>
      </w:rPr>
    </w:lvl>
    <w:lvl w:ilvl="2" w15:tentative="1">
      <w:start w:val="1"/>
      <w:numFmt w:val="bullet"/>
      <w:lvlText w:val="▪"/>
      <w:lvlJc w:val="left"/>
      <w:pPr>
        <w:ind w:left="1123" w:hanging="259"/>
      </w:pPr>
      <w:rPr>
        <w:color w:val="5A6B73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  <w:rPr>
        <w:b/>
        <w:bCs/>
        <w:color w:val="1B6B7C"/>
        <w:sz w:val="21"/>
        <w:szCs w:val="21"/>
      </w:rPr>
    </w:lvl>
    <w:lvl w:ilvl="1" w15:tentative="1">
      <w:start w:val="1"/>
      <w:numFmt w:val="lowerLetter"/>
      <w:lvlText w:val="%2."/>
      <w:lvlJc w:val="left"/>
      <w:pPr>
        <w:ind w:left="835" w:hanging="316"/>
      </w:pPr>
      <w:rPr>
        <w:color w:val="5A6B7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Minimizing Custom Development</dc:title>
  <dc:creator>Design Studio Program Office</dc:creator>
  <dc:description>At studio volume, manual usually beats built — and deliberately so.</dc:description>
  <cp:lastModifiedBy>Un-named</cp:lastModifiedBy>
  <cp:revision>1</cp:revision>
  <dcterms:created xsi:type="dcterms:W3CDTF">2026-08-04T00:29:15.449Z</dcterms:created>
  <dcterms:modified xsi:type="dcterms:W3CDTF">2026-08-04T00:29:15.449Z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