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3E8FA3"/>
          <w:spacing w:val="30"/>
          <w:sz w:val="17"/>
          <w:szCs w:val="17"/>
        </w:rPr>
        <w:t xml:space="preserve">PROGRAM  │  ONE-PAGER 01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E3A4F"/>
          <w:sz w:val="40"/>
          <w:szCs w:val="40"/>
        </w:rPr>
        <w:t xml:space="preserve">Master 90-Day Plan</w:t>
      </w:r>
    </w:p>
    <w:p>
      <w:pPr>
        <w:pBdr>
          <w:bottom w:val="single" w:color="1B6B7C" w:sz="12" w:space="8"/>
        </w:pBdr>
        <w:spacing w:after="200"/>
      </w:pPr>
      <w:r>
        <w:rPr>
          <w:rFonts w:ascii="Calibri" w:cs="Calibri" w:eastAsia="Calibri" w:hAnsi="Calibri"/>
          <w:i/>
          <w:iCs/>
          <w:color w:val="5A6B73"/>
          <w:sz w:val="21"/>
          <w:szCs w:val="21"/>
        </w:rPr>
        <w:t xml:space="preserve">The gated sequence from studio launch to a defensible go / no-go decision.</w:t>
      </w:r>
    </w:p>
    <w:p>
      <w:pPr>
        <w:pBdr>
          <w:bottom w:val="single" w:color="C9D6DC" w:sz="6" w:space="6"/>
        </w:pBdr>
        <w:spacing w:after="140" w:before="280"/>
      </w:pPr>
      <w:r>
        <w:rPr>
          <w:rFonts w:ascii="Calibri" w:cs="Calibri" w:eastAsia="Calibri" w:hAnsi="Calibri"/>
          <w:b/>
          <w:bCs/>
          <w:color w:val="1B6B7C"/>
          <w:spacing w:val="20"/>
          <w:sz w:val="20"/>
          <w:szCs w:val="20"/>
        </w:rPr>
        <w:t xml:space="preserve">PURPOSE</w:t>
      </w:r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This document is the single source of truth for what happens when during the 90-day Design Studio, what must be true to move from one phase to the next, and what the program will deliberately not attempt. Every other one-pager in this pack plugs into a gate defined here. If a proposed activity does not serve a gate on this page, it is out of scope for the 90 days.</w:t>
      </w:r>
    </w:p>
    <w:p>
      <w:pPr>
        <w:pBdr>
          <w:bottom w:val="single" w:color="C9D6DC" w:sz="6" w:space="6"/>
        </w:pBdr>
        <w:spacing w:after="140" w:before="280"/>
      </w:pPr>
      <w:r>
        <w:rPr>
          <w:rFonts w:ascii="Calibri" w:cs="Calibri" w:eastAsia="Calibri" w:hAnsi="Calibri"/>
          <w:b/>
          <w:bCs/>
          <w:color w:val="1B6B7C"/>
          <w:spacing w:val="20"/>
          <w:sz w:val="20"/>
          <w:szCs w:val="20"/>
        </w:rPr>
        <w:t xml:space="preserve">OWNER &amp; RACI</w:t>
      </w:r>
    </w:p>
    <w:tbl>
      <w:tblPr>
        <w:tblW w:type="dxa" w:w="9360"/>
        <w:tblBorders>
          <w:top w:val="single" w:color="C9D6DC" w:sz="2"/>
          <w:left w:val="single" w:color="C9D6DC" w:sz="2"/>
          <w:bottom w:val="single" w:color="C9D6DC" w:sz="2"/>
          <w:right w:val="single" w:color="C9D6DC" w:sz="2"/>
          <w:insideH w:val="single" w:color="C9D6DC" w:sz="2"/>
          <w:insideV w:val="single" w:color="C9D6DC" w:sz="2"/>
        </w:tblBorders>
      </w:tblPr>
      <w:tblGrid>
        <w:gridCol w:w="3182"/>
        <w:gridCol w:w="3744"/>
        <w:gridCol w:w="2434"/>
      </w:tblGrid>
      <w:tr>
        <w:trPr>
          <w:tblHeader/>
        </w:trPr>
        <w:tc>
          <w:tcPr>
            <w:tcW w:type="dxa" w:w="3182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Role</w:t>
            </w:r>
          </w:p>
        </w:tc>
        <w:tc>
          <w:tcPr>
            <w:tcW w:type="dxa" w:w="3744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Who (fill in at G0)</w:t>
            </w:r>
          </w:p>
        </w:tc>
        <w:tc>
          <w:tcPr>
            <w:tcW w:type="dxa" w:w="2434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 / A / C / I</w:t>
            </w:r>
          </w:p>
        </w:tc>
      </w:tr>
      <w:tr>
        <w:tc>
          <w:tcPr>
            <w:tcW w:type="dxa" w:w="318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Executive Sponsor</w:t>
            </w:r>
          </w:p>
        </w:tc>
        <w:tc>
          <w:tcPr>
            <w:tcW w:type="dxa" w:w="374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243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A — owns the go / no-go</w:t>
            </w:r>
          </w:p>
        </w:tc>
      </w:tr>
      <w:tr>
        <w:tc>
          <w:tcPr>
            <w:tcW w:type="dxa" w:w="318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Design Studio Lead</w:t>
            </w:r>
          </w:p>
        </w:tc>
        <w:tc>
          <w:tcPr>
            <w:tcW w:type="dxa" w:w="3744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2434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R — runs the program day to day</w:t>
            </w:r>
          </w:p>
        </w:tc>
      </w:tr>
      <w:tr>
        <w:tc>
          <w:tcPr>
            <w:tcW w:type="dxa" w:w="318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JazzX Engagement Lead</w:t>
            </w:r>
          </w:p>
        </w:tc>
        <w:tc>
          <w:tcPr>
            <w:tcW w:type="dxa" w:w="374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243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R — owns vendor-side delivery</w:t>
            </w:r>
          </w:p>
        </w:tc>
      </w:tr>
      <w:tr>
        <w:tc>
          <w:tcPr>
            <w:tcW w:type="dxa" w:w="318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Head of Underwriting</w:t>
            </w:r>
          </w:p>
        </w:tc>
        <w:tc>
          <w:tcPr>
            <w:tcW w:type="dxa" w:w="3744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2434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C — owns process and quality truth</w:t>
            </w:r>
          </w:p>
        </w:tc>
      </w:tr>
      <w:tr>
        <w:tc>
          <w:tcPr>
            <w:tcW w:type="dxa" w:w="318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Model Risk / Compliance</w:t>
            </w:r>
          </w:p>
        </w:tc>
        <w:tc>
          <w:tcPr>
            <w:tcW w:type="dxa" w:w="374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243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C — owns control adequacy</w:t>
            </w:r>
          </w:p>
        </w:tc>
      </w:tr>
      <w:tr>
        <w:tc>
          <w:tcPr>
            <w:tcW w:type="dxa" w:w="318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Steering Committee</w:t>
            </w:r>
          </w:p>
        </w:tc>
        <w:tc>
          <w:tcPr>
            <w:tcW w:type="dxa" w:w="3744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2434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I — informed biweekly, decides at gates</w:t>
            </w:r>
          </w:p>
        </w:tc>
      </w:tr>
    </w:tbl>
    <w:p>
      <w:pPr>
        <w:spacing w:after="120"/>
      </w:pPr>
    </w:p>
    <w:p>
      <w:pPr>
        <w:pBdr>
          <w:bottom w:val="single" w:color="C9D6DC" w:sz="6" w:space="6"/>
        </w:pBdr>
        <w:spacing w:after="140" w:before="280"/>
      </w:pPr>
      <w:r>
        <w:rPr>
          <w:rFonts w:ascii="Calibri" w:cs="Calibri" w:eastAsia="Calibri" w:hAnsi="Calibri"/>
          <w:b/>
          <w:bCs/>
          <w:color w:val="1B6B7C"/>
          <w:spacing w:val="20"/>
          <w:sz w:val="20"/>
          <w:szCs w:val="20"/>
        </w:rPr>
        <w:t xml:space="preserve">DECISIONS THIS DOCUMENT MAKES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The studio runs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shadow-first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: Jazz processes real loans in parallel while humans make every decision, and only graduates to limited live production after Gate 2.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The program is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gated, not calendar-driven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. A phase that has not met its gate criteria does not advance because the date arrived; it extends, descopes, or stops.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The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baseline is locked at Gate 1 (Day 30)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and is never revised afterward using post-Jazz data. A studio that cannot lock a baseline cannot produce a proof of value.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The go / no-go decision rule is written and signed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before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Gate 2 results are visible, to prevent the threshold from moving to fit the outcome.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Scope is one narrow loan-type slice. Breadth is explicitly deferred to a post-studio scale phase.</w:t>
      </w:r>
    </w:p>
    <w:p>
      <w:pPr>
        <w:pBdr>
          <w:bottom w:val="single" w:color="C9D6DC" w:sz="6" w:space="6"/>
        </w:pBdr>
        <w:spacing w:after="140" w:before="280"/>
      </w:pPr>
      <w:r>
        <w:rPr>
          <w:rFonts w:ascii="Calibri" w:cs="Calibri" w:eastAsia="Calibri" w:hAnsi="Calibri"/>
          <w:b/>
          <w:bCs/>
          <w:color w:val="1B6B7C"/>
          <w:spacing w:val="20"/>
          <w:sz w:val="20"/>
          <w:szCs w:val="20"/>
        </w:rPr>
        <w:t xml:space="preserve">THE FRAMEWORK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0E3A4F"/>
          <w:sz w:val="22"/>
          <w:szCs w:val="22"/>
        </w:rPr>
        <w:t xml:space="preserve">The gate model</w:t>
      </w:r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Five gates structure the 90 days. Each gate is a scheduled decision with named attendees, pre-circulated evidence, and only three possible outcomes: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Advance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Extend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(with a stated number of days and what will be different), or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Stop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. "Advance with concerns" is not an outcome — a concern either blocks the gate or is logged as a risk and the gate advances cleanly.</w:t>
      </w:r>
    </w:p>
    <w:tbl>
      <w:tblPr>
        <w:tblW w:type="dxa" w:w="9360"/>
        <w:tblBorders>
          <w:top w:val="single" w:color="C9D6DC" w:sz="2"/>
          <w:left w:val="single" w:color="C9D6DC" w:sz="2"/>
          <w:bottom w:val="single" w:color="C9D6DC" w:sz="2"/>
          <w:right w:val="single" w:color="C9D6DC" w:sz="2"/>
          <w:insideH w:val="single" w:color="C9D6DC" w:sz="2"/>
          <w:insideV w:val="single" w:color="C9D6DC" w:sz="2"/>
        </w:tblBorders>
      </w:tblPr>
      <w:tblGrid>
        <w:gridCol w:w="936"/>
        <w:gridCol w:w="936"/>
        <w:gridCol w:w="3369"/>
        <w:gridCol w:w="4119"/>
      </w:tblGrid>
      <w:tr>
        <w:trPr>
          <w:tblHeader/>
        </w:trPr>
        <w:tc>
          <w:tcPr>
            <w:tcW w:type="dxa" w:w="936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Gate</w:t>
            </w:r>
          </w:p>
        </w:tc>
        <w:tc>
          <w:tcPr>
            <w:tcW w:type="dxa" w:w="936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Day</w:t>
            </w:r>
          </w:p>
        </w:tc>
        <w:tc>
          <w:tcPr>
            <w:tcW w:type="dxa" w:w="3369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Question it answers</w:t>
            </w:r>
          </w:p>
        </w:tc>
        <w:tc>
          <w:tcPr>
            <w:tcW w:type="dxa" w:w="4119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Evidence required</w:t>
            </w:r>
          </w:p>
        </w:tc>
      </w:tr>
      <w:tr>
        <w:tc>
          <w:tcPr>
            <w:tcW w:type="dxa" w:w="93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G0</w:t>
            </w:r>
          </w:p>
        </w:tc>
        <w:tc>
          <w:tcPr>
            <w:tcW w:type="dxa" w:w="93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Day 0</w:t>
            </w:r>
          </w:p>
        </w:tc>
        <w:tc>
          <w:tcPr>
            <w:tcW w:type="dxa" w:w="33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Are we able to start?</w:t>
            </w:r>
          </w:p>
        </w:tc>
        <w:tc>
          <w:tcPr>
            <w:tcW w:type="dxa" w:w="411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Team named and released from BAU</w:t>
            </w:r>
          </w:p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Security review signed off</w:t>
            </w:r>
          </w:p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Governance body chartered</w:t>
            </w:r>
          </w:p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Loan slice selected</w:t>
            </w:r>
          </w:p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Baseline instrumentation live</w:t>
            </w:r>
          </w:p>
        </w:tc>
      </w:tr>
      <w:tr>
        <w:tc>
          <w:tcPr>
            <w:tcW w:type="dxa" w:w="936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G1</w:t>
            </w:r>
          </w:p>
        </w:tc>
        <w:tc>
          <w:tcPr>
            <w:tcW w:type="dxa" w:w="936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Day 30</w:t>
            </w:r>
          </w:p>
        </w:tc>
        <w:tc>
          <w:tcPr>
            <w:tcW w:type="dxa" w:w="3369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Do we know what "before" looks like?</w:t>
            </w:r>
          </w:p>
        </w:tc>
        <w:tc>
          <w:tcPr>
            <w:tcW w:type="dxa" w:w="4119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Locked baseline for labor, quality and cycle-time</w:t>
            </w:r>
          </w:p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Minimum 60 observed loans</w:t>
            </w:r>
          </w:p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Signed baseline attestation from Underwriting</w:t>
            </w:r>
          </w:p>
        </w:tc>
      </w:tr>
      <w:tr>
        <w:tc>
          <w:tcPr>
            <w:tcW w:type="dxa" w:w="93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G2</w:t>
            </w:r>
          </w:p>
        </w:tc>
        <w:tc>
          <w:tcPr>
            <w:tcW w:type="dxa" w:w="93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Day 60</w:t>
            </w:r>
          </w:p>
        </w:tc>
        <w:tc>
          <w:tcPr>
            <w:tcW w:type="dxa" w:w="33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Is Jazz accurate enough to touch a live loan?</w:t>
            </w:r>
          </w:p>
        </w:tc>
        <w:tc>
          <w:tcPr>
            <w:tcW w:type="dxa" w:w="411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Shadow accuracy vs. thresholds by metric</w:t>
            </w:r>
          </w:p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Tuning change log</w:t>
            </w:r>
          </w:p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Compliance sign-off for limited live</w:t>
            </w:r>
          </w:p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Borrower comms posture agreed</w:t>
            </w:r>
          </w:p>
        </w:tc>
      </w:tr>
      <w:tr>
        <w:tc>
          <w:tcPr>
            <w:tcW w:type="dxa" w:w="936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G3</w:t>
            </w:r>
          </w:p>
        </w:tc>
        <w:tc>
          <w:tcPr>
            <w:tcW w:type="dxa" w:w="936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Day 80</w:t>
            </w:r>
          </w:p>
        </w:tc>
        <w:tc>
          <w:tcPr>
            <w:tcW w:type="dxa" w:w="3369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Does it hold up in production?</w:t>
            </w:r>
          </w:p>
        </w:tc>
        <w:tc>
          <w:tcPr>
            <w:tcW w:type="dxa" w:w="4119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Live slice quality and cycle-time delta</w:t>
            </w:r>
          </w:p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Zero unremediated borrower-impacting defects</w:t>
            </w:r>
          </w:p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Ops readiness confirmation</w:t>
            </w:r>
          </w:p>
        </w:tc>
      </w:tr>
      <w:tr>
        <w:tc>
          <w:tcPr>
            <w:tcW w:type="dxa" w:w="93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G4</w:t>
            </w:r>
          </w:p>
        </w:tc>
        <w:tc>
          <w:tcPr>
            <w:tcW w:type="dxa" w:w="93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Day 90</w:t>
            </w:r>
          </w:p>
        </w:tc>
        <w:tc>
          <w:tcPr>
            <w:tcW w:type="dxa" w:w="33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Do we scale, stop, or extend?</w:t>
            </w:r>
          </w:p>
        </w:tc>
        <w:tc>
          <w:tcPr>
            <w:tcW w:type="dxa" w:w="411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Full evidence pack</w:t>
            </w:r>
          </w:p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Business case with baseline-to-live comparison</w:t>
            </w:r>
          </w:p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Scale plan and its cost</w:t>
            </w:r>
          </w:p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Decision against pre-signed criteria</w:t>
            </w:r>
          </w:p>
        </w:tc>
      </w:tr>
    </w:tbl>
    <w:p>
      <w:pPr>
        <w:spacing w:after="160"/>
      </w:pP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0E3A4F"/>
          <w:sz w:val="22"/>
          <w:szCs w:val="22"/>
        </w:rPr>
        <w:t xml:space="preserve">Phases and the work inside them</w:t>
      </w:r>
    </w:p>
    <w:tbl>
      <w:tblPr>
        <w:tblW w:type="dxa" w:w="9360"/>
        <w:tblBorders>
          <w:top w:val="single" w:color="C9D6DC" w:sz="2"/>
          <w:left w:val="single" w:color="C9D6DC" w:sz="2"/>
          <w:bottom w:val="single" w:color="C9D6DC" w:sz="2"/>
          <w:right w:val="single" w:color="C9D6DC" w:sz="2"/>
          <w:insideH w:val="single" w:color="C9D6DC" w:sz="2"/>
          <w:insideV w:val="single" w:color="C9D6DC" w:sz="2"/>
        </w:tblBorders>
      </w:tblPr>
      <w:tblGrid>
        <w:gridCol w:w="2059"/>
        <w:gridCol w:w="1123"/>
        <w:gridCol w:w="4492"/>
        <w:gridCol w:w="1686"/>
      </w:tblGrid>
      <w:tr>
        <w:trPr>
          <w:tblHeader/>
        </w:trPr>
        <w:tc>
          <w:tcPr>
            <w:tcW w:type="dxa" w:w="2059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Phase</w:t>
            </w:r>
          </w:p>
        </w:tc>
        <w:tc>
          <w:tcPr>
            <w:tcW w:type="dxa" w:w="1123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Days</w:t>
            </w:r>
          </w:p>
        </w:tc>
        <w:tc>
          <w:tcPr>
            <w:tcW w:type="dxa" w:w="4492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Core work</w:t>
            </w:r>
          </w:p>
        </w:tc>
        <w:tc>
          <w:tcPr>
            <w:tcW w:type="dxa" w:w="1686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Owns</w:t>
            </w:r>
          </w:p>
        </w:tc>
      </w:tr>
      <w:tr>
        <w:tc>
          <w:tcPr>
            <w:tcW w:type="dxa" w:w="205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0 — Mobilize</w:t>
            </w:r>
          </w:p>
        </w:tc>
        <w:tc>
          <w:tcPr>
            <w:tcW w:type="dxa" w:w="112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−14 to 0</w:t>
            </w:r>
          </w:p>
        </w:tc>
        <w:tc>
          <w:tcPr>
            <w:tcW w:type="dxa" w:w="449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Charter governance; name and release the team; complete security and third-party risk review; select the loan slice; stand up baseline capture; agree comms posture</w:t>
            </w:r>
          </w:p>
        </w:tc>
        <w:tc>
          <w:tcPr>
            <w:tcW w:type="dxa" w:w="168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Studio Lead</w:t>
            </w:r>
          </w:p>
        </w:tc>
      </w:tr>
      <w:tr>
        <w:tc>
          <w:tcPr>
            <w:tcW w:type="dxa" w:w="2059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1 — Observe &amp; Baseline</w:t>
            </w:r>
          </w:p>
        </w:tc>
        <w:tc>
          <w:tcPr>
            <w:tcW w:type="dxa" w:w="1123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1–30</w:t>
            </w:r>
          </w:p>
        </w:tc>
        <w:tc>
          <w:tcPr>
            <w:tcW w:type="dxa" w:w="449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Structured observation of real underwriting and fulfillment; time-and-motion capture; Jazz begins shadow processing ~Day 15; baseline assembled and locked</w:t>
            </w:r>
          </w:p>
        </w:tc>
        <w:tc>
          <w:tcPr>
            <w:tcW w:type="dxa" w:w="1686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Studio Lead + UW</w:t>
            </w:r>
          </w:p>
        </w:tc>
      </w:tr>
      <w:tr>
        <w:tc>
          <w:tcPr>
            <w:tcW w:type="dxa" w:w="205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2 — Shadow at volume &amp; Tune</w:t>
            </w:r>
          </w:p>
        </w:tc>
        <w:tc>
          <w:tcPr>
            <w:tcW w:type="dxa" w:w="112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31–60</w:t>
            </w:r>
          </w:p>
        </w:tc>
        <w:tc>
          <w:tcPr>
            <w:tcW w:type="dxa" w:w="449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Volume shadow processing; weekly tuning of prompts, conditions and document recognition; improvement log maintained; accuracy tracked against thresholds</w:t>
            </w:r>
          </w:p>
        </w:tc>
        <w:tc>
          <w:tcPr>
            <w:tcW w:type="dxa" w:w="168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Studio + JazzX</w:t>
            </w:r>
          </w:p>
        </w:tc>
      </w:tr>
      <w:tr>
        <w:tc>
          <w:tcPr>
            <w:tcW w:type="dxa" w:w="2059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3 — Limited Live</w:t>
            </w:r>
          </w:p>
        </w:tc>
        <w:tc>
          <w:tcPr>
            <w:tcW w:type="dxa" w:w="1123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61–80</w:t>
            </w:r>
          </w:p>
        </w:tc>
        <w:tc>
          <w:tcPr>
            <w:tcW w:type="dxa" w:w="449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Narrow slice runs live with 100% human review; borrower and internal comms activated; defect triage in-cycle; ops absorbs the new workflow</w:t>
            </w:r>
          </w:p>
        </w:tc>
        <w:tc>
          <w:tcPr>
            <w:tcW w:type="dxa" w:w="1686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Ops + Studio</w:t>
            </w:r>
          </w:p>
        </w:tc>
      </w:tr>
      <w:tr>
        <w:tc>
          <w:tcPr>
            <w:tcW w:type="dxa" w:w="205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4 — Evidence &amp; Decision</w:t>
            </w:r>
          </w:p>
        </w:tc>
        <w:tc>
          <w:tcPr>
            <w:tcW w:type="dxa" w:w="112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81–90</w:t>
            </w:r>
          </w:p>
        </w:tc>
        <w:tc>
          <w:tcPr>
            <w:tcW w:type="dxa" w:w="449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Evidence pack assembled; business case built; scale plan costed; G4 decision run against pre-signed criteria</w:t>
            </w:r>
          </w:p>
        </w:tc>
        <w:tc>
          <w:tcPr>
            <w:tcW w:type="dxa" w:w="168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Sponsor</w:t>
            </w:r>
          </w:p>
        </w:tc>
      </w:tr>
    </w:tbl>
    <w:p>
      <w:pPr>
        <w:spacing w:after="160"/>
      </w:pP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0E3A4F"/>
          <w:sz w:val="22"/>
          <w:szCs w:val="22"/>
        </w:rPr>
        <w:t xml:space="preserve">Critical path</w:t>
      </w:r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Four items carry the whole program. Slippage anywhere else is absorbable; slippage here moves Day 90.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Security and third-party risk review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(Phase 0). The longest-lead dependency in most lenders and the one least under the studio's control. Start it before the SOW is countersigned if procurement allows.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Data extraction from the LOS into Jazz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(Phase 0–1). Shadow processing cannot begin without it, and every downstream day of evidence is lost one-for-one.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Baseline lock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(Gate 1). Cannot be recovered retrospectively once Jazz is influencing the workflow. If Phase 1 slips, extend Phase 1 rather than compressing it.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Compliance sign-off for limited live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(Gate 2). Needs to be socialised from Day 30, not requested at Day 58.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0E3A4F"/>
          <w:sz w:val="22"/>
          <w:szCs w:val="22"/>
        </w:rPr>
        <w:t xml:space="preserve">Explicitly out of scope for 90 days</w:t>
      </w:r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Naming these up front is what protects the timeline. Each is a legitimate ambition deferred to the scale phase, not a rejection.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Broad loan-type coverage beyond the selected slice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Full LOS write-back and system-of-record automation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Removing the human reviewer from any live decision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Integration with marketing, pricing, or servicing systems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Headcount reduction — the studio measures labor, it does not act on it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Custom model development beyond configuration and tuning within Jazz</w:t>
      </w:r>
    </w:p>
    <w:p>
      <w:pPr>
        <w:pBdr>
          <w:bottom w:val="single" w:color="C9D6DC" w:sz="6" w:space="6"/>
        </w:pBdr>
        <w:spacing w:after="140" w:before="280"/>
      </w:pPr>
      <w:r>
        <w:rPr>
          <w:rFonts w:ascii="Calibri" w:cs="Calibri" w:eastAsia="Calibri" w:hAnsi="Calibri"/>
          <w:b/>
          <w:bCs/>
          <w:color w:val="1B6B7C"/>
          <w:spacing w:val="20"/>
          <w:sz w:val="20"/>
          <w:szCs w:val="20"/>
        </w:rPr>
        <w:t xml:space="preserve">ARTIFACTS &amp; TEMPLATES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0E3A4F"/>
          <w:sz w:val="22"/>
          <w:szCs w:val="22"/>
        </w:rPr>
        <w:t xml:space="preserve">Week-by-week plan</w:t>
      </w:r>
    </w:p>
    <w:tbl>
      <w:tblPr>
        <w:tblW w:type="dxa" w:w="9360"/>
        <w:tblBorders>
          <w:top w:val="single" w:color="C9D6DC" w:sz="2"/>
          <w:left w:val="single" w:color="C9D6DC" w:sz="2"/>
          <w:bottom w:val="single" w:color="C9D6DC" w:sz="2"/>
          <w:right w:val="single" w:color="C9D6DC" w:sz="2"/>
          <w:insideH w:val="single" w:color="C9D6DC" w:sz="2"/>
          <w:insideV w:val="single" w:color="C9D6DC" w:sz="2"/>
        </w:tblBorders>
      </w:tblPr>
      <w:tblGrid>
        <w:gridCol w:w="1310"/>
        <w:gridCol w:w="6177"/>
        <w:gridCol w:w="1873"/>
      </w:tblGrid>
      <w:tr>
        <w:trPr>
          <w:tblHeader/>
        </w:trPr>
        <w:tc>
          <w:tcPr>
            <w:tcW w:type="dxa" w:w="1310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Week</w:t>
            </w:r>
          </w:p>
        </w:tc>
        <w:tc>
          <w:tcPr>
            <w:tcW w:type="dxa" w:w="6177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Milestone</w:t>
            </w:r>
          </w:p>
        </w:tc>
        <w:tc>
          <w:tcPr>
            <w:tcW w:type="dxa" w:w="1873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Gate</w:t>
            </w:r>
          </w:p>
        </w:tc>
      </w:tr>
      <w:tr>
        <w:tc>
          <w:tcPr>
            <w:tcW w:type="dxa" w:w="131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Pre −2/−1</w:t>
            </w:r>
          </w:p>
        </w:tc>
        <w:tc>
          <w:tcPr>
            <w:tcW w:type="dxa" w:w="617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Governance chartered, team named, security review submitted, loan slice selected</w:t>
            </w:r>
          </w:p>
        </w:tc>
        <w:tc>
          <w:tcPr>
            <w:tcW w:type="dxa" w:w="187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→ G0</w:t>
            </w:r>
          </w:p>
        </w:tc>
      </w:tr>
      <w:tr>
        <w:tc>
          <w:tcPr>
            <w:tcW w:type="dxa" w:w="1310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W1</w:t>
            </w:r>
          </w:p>
        </w:tc>
        <w:tc>
          <w:tcPr>
            <w:tcW w:type="dxa" w:w="6177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Kickoff; observation begins; baseline capture instrumented</w:t>
            </w:r>
          </w:p>
        </w:tc>
        <w:tc>
          <w:tcPr>
            <w:tcW w:type="dxa" w:w="1873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31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W2</w:t>
            </w:r>
          </w:p>
        </w:tc>
        <w:tc>
          <w:tcPr>
            <w:tcW w:type="dxa" w:w="617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Observation continues; LOS extraction validated; first Jazz test loans</w:t>
            </w:r>
          </w:p>
        </w:tc>
        <w:tc>
          <w:tcPr>
            <w:tcW w:type="dxa" w:w="187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310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W3</w:t>
            </w:r>
          </w:p>
        </w:tc>
        <w:tc>
          <w:tcPr>
            <w:tcW w:type="dxa" w:w="6177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Shadow processing begins at low volume; weekly feedback loop starts</w:t>
            </w:r>
          </w:p>
        </w:tc>
        <w:tc>
          <w:tcPr>
            <w:tcW w:type="dxa" w:w="1873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31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W4</w:t>
            </w:r>
          </w:p>
        </w:tc>
        <w:tc>
          <w:tcPr>
            <w:tcW w:type="dxa" w:w="617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Baseline assembled, reviewed, attested and locked</w:t>
            </w:r>
          </w:p>
        </w:tc>
        <w:tc>
          <w:tcPr>
            <w:tcW w:type="dxa" w:w="187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→ G1</w:t>
            </w:r>
          </w:p>
        </w:tc>
      </w:tr>
      <w:tr>
        <w:tc>
          <w:tcPr>
            <w:tcW w:type="dxa" w:w="1310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W5–W6</w:t>
            </w:r>
          </w:p>
        </w:tc>
        <w:tc>
          <w:tcPr>
            <w:tcW w:type="dxa" w:w="6177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Shadow volume ramps; first full tuning cycles; improvement log live</w:t>
            </w:r>
          </w:p>
        </w:tc>
        <w:tc>
          <w:tcPr>
            <w:tcW w:type="dxa" w:w="1873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31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W7</w:t>
            </w:r>
          </w:p>
        </w:tc>
        <w:tc>
          <w:tcPr>
            <w:tcW w:type="dxa" w:w="617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Mid-phase accuracy read; compliance engagement for live authorisation</w:t>
            </w:r>
          </w:p>
        </w:tc>
        <w:tc>
          <w:tcPr>
            <w:tcW w:type="dxa" w:w="187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310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W8</w:t>
            </w:r>
          </w:p>
        </w:tc>
        <w:tc>
          <w:tcPr>
            <w:tcW w:type="dxa" w:w="6177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Accuracy vs. thresholds assessed; live-readiness pack assembled</w:t>
            </w:r>
          </w:p>
        </w:tc>
        <w:tc>
          <w:tcPr>
            <w:tcW w:type="dxa" w:w="1873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→ G2</w:t>
            </w:r>
          </w:p>
        </w:tc>
      </w:tr>
      <w:tr>
        <w:tc>
          <w:tcPr>
            <w:tcW w:type="dxa" w:w="131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W9</w:t>
            </w:r>
          </w:p>
        </w:tc>
        <w:tc>
          <w:tcPr>
            <w:tcW w:type="dxa" w:w="617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Limited live begins on narrow slice; borrower and internal comms activated</w:t>
            </w:r>
          </w:p>
        </w:tc>
        <w:tc>
          <w:tcPr>
            <w:tcW w:type="dxa" w:w="187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310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W10–W11</w:t>
            </w:r>
          </w:p>
        </w:tc>
        <w:tc>
          <w:tcPr>
            <w:tcW w:type="dxa" w:w="6177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Live operation; defect triage; ops absorption; cycle-time measured</w:t>
            </w:r>
          </w:p>
        </w:tc>
        <w:tc>
          <w:tcPr>
            <w:tcW w:type="dxa" w:w="1873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31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W12</w:t>
            </w:r>
          </w:p>
        </w:tc>
        <w:tc>
          <w:tcPr>
            <w:tcW w:type="dxa" w:w="617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Live slice performance reviewed</w:t>
            </w:r>
          </w:p>
        </w:tc>
        <w:tc>
          <w:tcPr>
            <w:tcW w:type="dxa" w:w="187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→ G3</w:t>
            </w:r>
          </w:p>
        </w:tc>
      </w:tr>
      <w:tr>
        <w:tc>
          <w:tcPr>
            <w:tcW w:type="dxa" w:w="1310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W13</w:t>
            </w:r>
          </w:p>
        </w:tc>
        <w:tc>
          <w:tcPr>
            <w:tcW w:type="dxa" w:w="6177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Evidence pack, business case and scale plan; decision</w:t>
            </w:r>
          </w:p>
        </w:tc>
        <w:tc>
          <w:tcPr>
            <w:tcW w:type="dxa" w:w="1873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→ G4</w:t>
            </w:r>
          </w:p>
        </w:tc>
      </w:tr>
    </w:tbl>
    <w:p>
      <w:pPr>
        <w:spacing w:after="160" w:before="80"/>
      </w:pPr>
      <w:r>
        <w:rPr>
          <w:rFonts w:ascii="Calibri" w:cs="Calibri" w:eastAsia="Calibri" w:hAnsi="Calibri"/>
          <w:i/>
          <w:iCs/>
          <w:color w:val="5A6B73"/>
          <w:sz w:val="18"/>
          <w:szCs w:val="18"/>
        </w:rPr>
        <w:t xml:space="preserve">Days are relative to kickoff (Day 1), so the calendar can shift without re-cutting the plan.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0E3A4F"/>
          <w:sz w:val="22"/>
          <w:szCs w:val="22"/>
        </w:rPr>
        <w:t xml:space="preserve">Dependencies on JazzX</w:t>
      </w:r>
    </w:p>
    <w:tbl>
      <w:tblPr>
        <w:tblW w:type="dxa" w:w="9360"/>
        <w:tblBorders>
          <w:top w:val="single" w:color="C9D6DC" w:sz="2"/>
          <w:left w:val="single" w:color="C9D6DC" w:sz="2"/>
          <w:bottom w:val="single" w:color="C9D6DC" w:sz="2"/>
          <w:right w:val="single" w:color="C9D6DC" w:sz="2"/>
          <w:insideH w:val="single" w:color="C9D6DC" w:sz="2"/>
          <w:insideV w:val="single" w:color="C9D6DC" w:sz="2"/>
        </w:tblBorders>
      </w:tblPr>
      <w:tblGrid>
        <w:gridCol w:w="3744"/>
        <w:gridCol w:w="1872"/>
        <w:gridCol w:w="3744"/>
      </w:tblGrid>
      <w:tr>
        <w:trPr>
          <w:tblHeader/>
        </w:trPr>
        <w:tc>
          <w:tcPr>
            <w:tcW w:type="dxa" w:w="3744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Dependency</w:t>
            </w:r>
          </w:p>
        </w:tc>
        <w:tc>
          <w:tcPr>
            <w:tcW w:type="dxa" w:w="1872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Needed by</w:t>
            </w:r>
          </w:p>
        </w:tc>
        <w:tc>
          <w:tcPr>
            <w:tcW w:type="dxa" w:w="3744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Consequence if late</w:t>
            </w:r>
          </w:p>
        </w:tc>
      </w:tr>
      <w:tr>
        <w:tc>
          <w:tcPr>
            <w:tcW w:type="dxa" w:w="374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Environment provisioned and accessible</w:t>
            </w:r>
          </w:p>
        </w:tc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Day −7</w:t>
            </w:r>
          </w:p>
        </w:tc>
        <w:tc>
          <w:tcPr>
            <w:tcW w:type="dxa" w:w="374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Kickoff slips one-for-one</w:t>
            </w:r>
          </w:p>
        </w:tc>
      </w:tr>
      <w:tr>
        <w:tc>
          <w:tcPr>
            <w:tcW w:type="dxa" w:w="3744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LOS data extraction working end to end</w:t>
            </w:r>
          </w:p>
        </w:tc>
        <w:tc>
          <w:tcPr>
            <w:tcW w:type="dxa" w:w="187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Day 10</w:t>
            </w:r>
          </w:p>
        </w:tc>
        <w:tc>
          <w:tcPr>
            <w:tcW w:type="dxa" w:w="3744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Shadow start slips; evidence days lost</w:t>
            </w:r>
          </w:p>
        </w:tc>
      </w:tr>
      <w:tr>
        <w:tc>
          <w:tcPr>
            <w:tcW w:type="dxa" w:w="374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Named tuning engineer available weekly</w:t>
            </w:r>
          </w:p>
        </w:tc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Day 15</w:t>
            </w:r>
          </w:p>
        </w:tc>
        <w:tc>
          <w:tcPr>
            <w:tcW w:type="dxa" w:w="374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Tuning cycle stretches; G2 at risk</w:t>
            </w:r>
          </w:p>
        </w:tc>
      </w:tr>
      <w:tr>
        <w:tc>
          <w:tcPr>
            <w:tcW w:type="dxa" w:w="3744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Builder Studio access for our team</w:t>
            </w:r>
          </w:p>
        </w:tc>
        <w:tc>
          <w:tcPr>
            <w:tcW w:type="dxa" w:w="187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Day 30</w:t>
            </w:r>
          </w:p>
        </w:tc>
        <w:tc>
          <w:tcPr>
            <w:tcW w:type="dxa" w:w="3744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Capability transfer fails; vendor dependence at Day 91</w:t>
            </w:r>
          </w:p>
        </w:tc>
      </w:tr>
      <w:tr>
        <w:tc>
          <w:tcPr>
            <w:tcW w:type="dxa" w:w="374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Audit-grade output logging</w:t>
            </w:r>
          </w:p>
        </w:tc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Day 45</w:t>
            </w:r>
          </w:p>
        </w:tc>
        <w:tc>
          <w:tcPr>
            <w:tcW w:type="dxa" w:w="374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Cannot evidence quality at G2 or satisfy compliance</w:t>
            </w:r>
          </w:p>
        </w:tc>
      </w:tr>
    </w:tbl>
    <w:p>
      <w:pPr>
        <w:spacing w:after="160"/>
      </w:pPr>
    </w:p>
    <w:p>
      <w:pPr>
        <w:pBdr>
          <w:bottom w:val="single" w:color="C9D6DC" w:sz="6" w:space="6"/>
        </w:pBdr>
        <w:spacing w:after="140" w:before="280"/>
      </w:pPr>
      <w:r>
        <w:rPr>
          <w:rFonts w:ascii="Calibri" w:cs="Calibri" w:eastAsia="Calibri" w:hAnsi="Calibri"/>
          <w:b/>
          <w:bCs/>
          <w:color w:val="1B6B7C"/>
          <w:spacing w:val="20"/>
          <w:sz w:val="20"/>
          <w:szCs w:val="20"/>
        </w:rPr>
        <w:t xml:space="preserve">CADENCE</w:t>
      </w:r>
    </w:p>
    <w:tbl>
      <w:tblPr>
        <w:tblW w:type="dxa" w:w="9360"/>
        <w:tblBorders>
          <w:top w:val="single" w:color="C9D6DC" w:sz="2"/>
          <w:left w:val="single" w:color="C9D6DC" w:sz="2"/>
          <w:bottom w:val="single" w:color="C9D6DC" w:sz="2"/>
          <w:right w:val="single" w:color="C9D6DC" w:sz="2"/>
          <w:insideH w:val="single" w:color="C9D6DC" w:sz="2"/>
          <w:insideV w:val="single" w:color="C9D6DC" w:sz="2"/>
        </w:tblBorders>
      </w:tblPr>
      <w:tblGrid>
        <w:gridCol w:w="2059"/>
        <w:gridCol w:w="4492"/>
        <w:gridCol w:w="2809"/>
      </w:tblGrid>
      <w:tr>
        <w:trPr>
          <w:tblHeader/>
        </w:trPr>
        <w:tc>
          <w:tcPr>
            <w:tcW w:type="dxa" w:w="2059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When</w:t>
            </w:r>
          </w:p>
        </w:tc>
        <w:tc>
          <w:tcPr>
            <w:tcW w:type="dxa" w:w="4492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What happens</w:t>
            </w:r>
          </w:p>
        </w:tc>
        <w:tc>
          <w:tcPr>
            <w:tcW w:type="dxa" w:w="2809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Output</w:t>
            </w:r>
          </w:p>
        </w:tc>
      </w:tr>
      <w:tr>
        <w:tc>
          <w:tcPr>
            <w:tcW w:type="dxa" w:w="205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Daily (W1–4)</w:t>
            </w:r>
          </w:p>
        </w:tc>
        <w:tc>
          <w:tcPr>
            <w:tcW w:type="dxa" w:w="449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Observation debrief — 15 minutes, studio team only</w:t>
            </w:r>
          </w:p>
        </w:tc>
        <w:tc>
          <w:tcPr>
            <w:tcW w:type="dxa" w:w="280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Observation log entries</w:t>
            </w:r>
          </w:p>
        </w:tc>
      </w:tr>
      <w:tr>
        <w:tc>
          <w:tcPr>
            <w:tcW w:type="dxa" w:w="2059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Weekly, Thu</w:t>
            </w:r>
          </w:p>
        </w:tc>
        <w:tc>
          <w:tcPr>
            <w:tcW w:type="dxa" w:w="449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Feedback loop — findings, tuning decisions, blockers</w:t>
            </w:r>
          </w:p>
        </w:tc>
        <w:tc>
          <w:tcPr>
            <w:tcW w:type="dxa" w:w="2809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Tuning backlog, improvement log</w:t>
            </w:r>
          </w:p>
        </w:tc>
      </w:tr>
      <w:tr>
        <w:tc>
          <w:tcPr>
            <w:tcW w:type="dxa" w:w="205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Biweekly</w:t>
            </w:r>
          </w:p>
        </w:tc>
        <w:tc>
          <w:tcPr>
            <w:tcW w:type="dxa" w:w="449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Steering committee — progress against gates, risks, decisions needed</w:t>
            </w:r>
          </w:p>
        </w:tc>
        <w:tc>
          <w:tcPr>
            <w:tcW w:type="dxa" w:w="280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Decision record</w:t>
            </w:r>
          </w:p>
        </w:tc>
      </w:tr>
      <w:tr>
        <w:tc>
          <w:tcPr>
            <w:tcW w:type="dxa" w:w="2059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At each gate</w:t>
            </w:r>
          </w:p>
        </w:tc>
        <w:tc>
          <w:tcPr>
            <w:tcW w:type="dxa" w:w="449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Gate review — evidence pre-circulated 48 hours ahead</w:t>
            </w:r>
          </w:p>
        </w:tc>
        <w:tc>
          <w:tcPr>
            <w:tcW w:type="dxa" w:w="2809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Advance / Extend / Stop</w:t>
            </w:r>
          </w:p>
        </w:tc>
      </w:tr>
      <w:tr>
        <w:tc>
          <w:tcPr>
            <w:tcW w:type="dxa" w:w="205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Monthly</w:t>
            </w:r>
          </w:p>
        </w:tc>
        <w:tc>
          <w:tcPr>
            <w:tcW w:type="dxa" w:w="449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Executive readout — one page, no deck</w:t>
            </w:r>
          </w:p>
        </w:tc>
        <w:tc>
          <w:tcPr>
            <w:tcW w:type="dxa" w:w="280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Sponsor briefing</w:t>
            </w:r>
          </w:p>
        </w:tc>
      </w:tr>
    </w:tbl>
    <w:p>
      <w:pPr>
        <w:spacing w:after="120"/>
      </w:pPr>
    </w:p>
    <w:p>
      <w:pPr>
        <w:pBdr>
          <w:bottom w:val="single" w:color="C9D6DC" w:sz="6" w:space="6"/>
        </w:pBdr>
        <w:spacing w:after="140" w:before="280"/>
      </w:pPr>
      <w:r>
        <w:rPr>
          <w:rFonts w:ascii="Calibri" w:cs="Calibri" w:eastAsia="Calibri" w:hAnsi="Calibri"/>
          <w:b/>
          <w:bCs/>
          <w:color w:val="1B6B7C"/>
          <w:spacing w:val="20"/>
          <w:sz w:val="20"/>
          <w:szCs w:val="20"/>
        </w:rPr>
        <w:t xml:space="preserve">DEFINITION OF DONE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All five gates held on the record with a documented Advance / Extend / Stop outcome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Baseline locked and attested before any Jazz output influenced a live decision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Go / no-go criteria signed before Gate 2 evidence was visible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Evidence pack complete enough that someone outside the studio can audit the conclusion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 costed scale plan exists whether the answer is go or no-go</w:t>
      </w:r>
    </w:p>
    <w:p>
      <w:pPr>
        <w:pBdr>
          <w:bottom w:val="single" w:color="C9D6DC" w:sz="6" w:space="6"/>
        </w:pBdr>
        <w:spacing w:after="140" w:before="280"/>
      </w:pPr>
      <w:r>
        <w:rPr>
          <w:rFonts w:ascii="Calibri" w:cs="Calibri" w:eastAsia="Calibri" w:hAnsi="Calibri"/>
          <w:b/>
          <w:bCs/>
          <w:color w:val="1B6B7C"/>
          <w:spacing w:val="20"/>
          <w:sz w:val="20"/>
          <w:szCs w:val="20"/>
        </w:rPr>
        <w:t xml:space="preserve">RISKS &amp; ESCALATION</w:t>
      </w:r>
    </w:p>
    <w:tbl>
      <w:tblPr>
        <w:tblW w:type="dxa" w:w="9360"/>
        <w:tblBorders>
          <w:top w:val="single" w:color="C9D6DC" w:sz="2"/>
          <w:left w:val="single" w:color="C9D6DC" w:sz="2"/>
          <w:bottom w:val="single" w:color="C9D6DC" w:sz="2"/>
          <w:right w:val="single" w:color="C9D6DC" w:sz="2"/>
          <w:insideH w:val="single" w:color="C9D6DC" w:sz="2"/>
          <w:insideV w:val="single" w:color="C9D6DC" w:sz="2"/>
        </w:tblBorders>
      </w:tblPr>
      <w:tblGrid>
        <w:gridCol w:w="2808"/>
        <w:gridCol w:w="4212"/>
        <w:gridCol w:w="2340"/>
      </w:tblGrid>
      <w:tr>
        <w:trPr>
          <w:tblHeader/>
        </w:trPr>
        <w:tc>
          <w:tcPr>
            <w:tcW w:type="dxa" w:w="2808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Risk</w:t>
            </w:r>
          </w:p>
        </w:tc>
        <w:tc>
          <w:tcPr>
            <w:tcW w:type="dxa" w:w="4212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Mitigation</w:t>
            </w:r>
          </w:p>
        </w:tc>
        <w:tc>
          <w:tcPr>
            <w:tcW w:type="dxa" w:w="2340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Escalates to</w:t>
            </w:r>
          </w:p>
        </w:tc>
      </w:tr>
      <w:tr>
        <w:tc>
          <w:tcPr>
            <w:tcW w:type="dxa" w:w="28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Gates become rubber stamps under delivery pressure</w:t>
            </w:r>
          </w:p>
        </w:tc>
        <w:tc>
          <w:tcPr>
            <w:tcW w:type="dxa" w:w="421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Written outcomes with named dissent; Compliance attends every gate and can block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Executive Sponsor</w:t>
            </w:r>
          </w:p>
        </w:tc>
      </w:tr>
      <w:tr>
        <w:tc>
          <w:tcPr>
            <w:tcW w:type="dxa" w:w="2808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Scope creep from adjacent teams who want their loan type included</w:t>
            </w:r>
          </w:p>
        </w:tc>
        <w:tc>
          <w:tcPr>
            <w:tcW w:type="dxa" w:w="421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Out-of-scope list is published and enforced; additions require a steering decision that moves Day 90</w:t>
            </w:r>
          </w:p>
        </w:tc>
        <w:tc>
          <w:tcPr>
            <w:tcW w:type="dxa" w:w="2340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Steering Committee</w:t>
            </w:r>
          </w:p>
        </w:tc>
      </w:tr>
      <w:tr>
        <w:tc>
          <w:tcPr>
            <w:tcW w:type="dxa" w:w="28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Baseline never locks because "the data is not clean yet"</w:t>
            </w:r>
          </w:p>
        </w:tc>
        <w:tc>
          <w:tcPr>
            <w:tcW w:type="dxa" w:w="421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Baseline is time-boxed to Phase 1 with a documented-limitations clause rather than perfection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Executive Sponsor</w:t>
            </w:r>
          </w:p>
        </w:tc>
      </w:tr>
      <w:tr>
        <w:tc>
          <w:tcPr>
            <w:tcW w:type="dxa" w:w="2808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Vendor dependency at Day 91 — we can operate Jazz but not change it</w:t>
            </w:r>
          </w:p>
        </w:tc>
        <w:tc>
          <w:tcPr>
            <w:tcW w:type="dxa" w:w="421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Builder Studio enablement is a tracked deliverable, not an optional extra</w:t>
            </w:r>
          </w:p>
        </w:tc>
        <w:tc>
          <w:tcPr>
            <w:tcW w:type="dxa" w:w="2340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Studio Lead</w:t>
            </w:r>
          </w:p>
        </w:tc>
      </w:tr>
      <w:tr>
        <w:tc>
          <w:tcPr>
            <w:tcW w:type="dxa" w:w="28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Team pulled back into BAU during peak volume</w:t>
            </w:r>
          </w:p>
        </w:tc>
        <w:tc>
          <w:tcPr>
            <w:tcW w:type="dxa" w:w="421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Named seats with backfill agreed at G0; sponsor re-confirms release at each gate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Executive Sponsor</w:t>
            </w:r>
          </w:p>
        </w:tc>
      </w:tr>
    </w:tbl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D6DC" w:sz="4" w:space="6"/>
      </w:pBdr>
    </w:pPr>
    <w:r>
      <w:rPr>
        <w:rFonts w:ascii="Calibri" w:cs="Calibri" w:eastAsia="Calibri" w:hAnsi="Calibri"/>
        <w:color w:val="5A6B73"/>
        <w:sz w:val="16"/>
        <w:szCs w:val="16"/>
      </w:rPr>
      <w:t xml:space="preserve">JazzX Design Studio — 90-Day Framework  │  Master 90-Day Plan   </w:t>
    </w:r>
    <w:r>
      <w:rPr>
        <w:rFonts w:ascii="Calibri" w:cs="Calibri" w:eastAsia="Calibri" w:hAnsi="Calibri"/>
        <w:color w:val="5A6B73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403" w:hanging="259"/>
      </w:pPr>
      <w:rPr>
        <w:color w:val="1B6B7C"/>
        <w:sz w:val="21"/>
        <w:szCs w:val="21"/>
      </w:rPr>
    </w:lvl>
    <w:lvl w:ilvl="1" w15:tentative="1">
      <w:start w:val="1"/>
      <w:numFmt w:val="bullet"/>
      <w:lvlText w:val="○"/>
      <w:lvlJc w:val="left"/>
      <w:pPr>
        <w:ind w:left="763" w:hanging="259"/>
      </w:pPr>
      <w:rPr>
        <w:color w:val="5A6B73"/>
        <w:sz w:val="21"/>
        <w:szCs w:val="21"/>
      </w:rPr>
    </w:lvl>
    <w:lvl w:ilvl="2" w15:tentative="1">
      <w:start w:val="1"/>
      <w:numFmt w:val="bullet"/>
      <w:lvlText w:val="▪"/>
      <w:lvlJc w:val="left"/>
      <w:pPr>
        <w:ind w:left="1123" w:hanging="259"/>
      </w:pPr>
      <w:rPr>
        <w:color w:val="5A6B73"/>
        <w:sz w:val="21"/>
        <w:szCs w:val="21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16"/>
      </w:pPr>
      <w:rPr>
        <w:b/>
        <w:bCs/>
        <w:color w:val="1B6B7C"/>
        <w:sz w:val="21"/>
        <w:szCs w:val="21"/>
      </w:rPr>
    </w:lvl>
    <w:lvl w:ilvl="1" w15:tentative="1">
      <w:start w:val="1"/>
      <w:numFmt w:val="lowerLetter"/>
      <w:lvlText w:val="%2."/>
      <w:lvlJc w:val="left"/>
      <w:pPr>
        <w:ind w:left="835" w:hanging="316"/>
      </w:pPr>
      <w:rPr>
        <w:color w:val="5A6B73"/>
        <w:sz w:val="21"/>
        <w:szCs w:val="21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Master 90-Day Plan</dc:title>
  <dc:creator>Design Studio Program Office</dc:creator>
  <dc:description>The gated sequence from studio launch to a defensible go / no-go decision.</dc:description>
  <cp:lastModifiedBy>Un-named</cp:lastModifiedBy>
  <cp:revision>1</cp:revision>
  <dcterms:created xsi:type="dcterms:W3CDTF">2026-08-03T23:55:14.354Z</dcterms:created>
  <dcterms:modified xsi:type="dcterms:W3CDTF">2026-08-03T23:55:14.357Z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