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LOGISTICS — PRODUCTION READINESS  │  ONE-PAGER 02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Governance Structure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Who decides what, how fast, and who can stop the program.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establish the decision-making body for the Design Studio before it is needed, so that questions of authority are settled in advance rather than negotiated in the middle of a live issue. Governance here has two jobs: move ordinary decisions quickly enough that the studio does not stall, and ensure the decisions that carry regulatory or borrower risk are made by people accountable for them.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chairs Steering, owns go / no-go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Design 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chairs Working Group, runs escalation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Model Risk / Validation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standing member, holds a block right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/ Legal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standing member, holds a block right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Information Security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consulted at G0 and on any data-scope change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Third-Party Risk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owns the vendor relationship record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attends Working Group, not Steering votes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Governance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three-tier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a Steering Committee that decides at gates, a Working Group that decides weekly, and Control Functions that advise continuously and can block.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Control functions hold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block right, not a vote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They cannot direct the studio, but Compliance or Model Risk can prevent a gate from advancing, and that block is recorded in writing with its remediation condition.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 decision not explicitly reserved to Steering is delegated to the Working Group.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Silence delegates downward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so the studio never waits for permission that no one was required to give.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 is entered into 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model inventory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at G0 and tiered before shadow processing begins, regardless of whether it is classified as a model or a tool.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JazzX attends the Working Group as a delivery partner but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not present for gate votes or for any discussion of vendor viability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three tiers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872"/>
        <w:gridCol w:w="2620"/>
        <w:gridCol w:w="1310"/>
        <w:gridCol w:w="3558"/>
      </w:tblGrid>
      <w:tr>
        <w:trPr>
          <w:tblHeader/>
        </w:trPr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Body</w:t>
            </w:r>
          </w:p>
        </w:tc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Members</w:t>
            </w:r>
          </w:p>
        </w:tc>
        <w:tc>
          <w:tcPr>
            <w:tcW w:type="dxa" w:w="131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Meets</w:t>
            </w:r>
          </w:p>
        </w:tc>
        <w:tc>
          <w:tcPr>
            <w:tcW w:type="dxa" w:w="355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Decides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Steering Committee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 Sponsor (chair)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UW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Ops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CRO or delegate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Biweekly + every gate</w:t>
            </w:r>
          </w:p>
        </w:tc>
        <w:tc>
          <w:tcPr>
            <w:tcW w:type="dxa" w:w="355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outcomes (Advance / Extend / Stop)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Scope changes that move Day 90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Budget beyond approved SOW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Authorisation to run live on real borrowers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G4 go / no-go</w:t>
            </w:r>
          </w:p>
        </w:tc>
      </w:tr>
      <w:tr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Design Studio Working Group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(chair)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Lead underwriter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Lead processor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Data/IT analyst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355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priorities and the tuning backlog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Process adjustments inside the studio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Which loans enter the studio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Defect severity classification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Everything not reserved above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Control Functions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Model Risk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/ Legal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Third-Party Risk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QC</w:t>
            </w:r>
          </w:p>
        </w:tc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At gates + on call</w:t>
            </w:r>
          </w:p>
        </w:tc>
        <w:tc>
          <w:tcPr>
            <w:tcW w:type="dxa" w:w="355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Whether a control is adequate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Whether a gate may advance (block right)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Whether a data scope change is permitted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Adverse-action and disclosure posture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Decision rights — what does not need to escalate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most common way a studio stalls is that everything feels like it needs the sponsor. This matrix is the antidote: if a decision appears in the Working Group column, it is made in the weekly meeting and recorded, full stop.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744"/>
        <w:gridCol w:w="2246"/>
        <w:gridCol w:w="3370"/>
      </w:tblGrid>
      <w:tr>
        <w:trPr>
          <w:tblHeader/>
        </w:trPr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Made by</w:t>
            </w:r>
          </w:p>
        </w:tc>
        <w:tc>
          <w:tcPr>
            <w:tcW w:type="dxa" w:w="337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only if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a prompt, condition rule or document template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changes what is disclosed to a borrower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Add or remove a loan from the studio cohort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changes the agreed slice definition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Reclassify a defect severity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Severity 1 — automatic Steering notification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Adjust the weekly operating rhythm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Never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a baseline metric definition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Always — after G1 lock, effectively never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Expand the data set sent to JazzX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 + Steering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Always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Move a loan from shadow to live handling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Always — this is the G2 authorisation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Pause the studio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 control function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Immediate; Steering convenes within 24 hours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Model risk and third-party risk fit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 is a third-party AI system that influences credit decisions. Whether or not it meets your institution's formal definition of a model, treat it as one for the duration of the studio — the cost of doing so is a week of documentation, and the cost of not doing so is discovering at G4 that the evidence is not admissible to your own risk committee.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Inventory entry at G0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Jazz recorded with owner, purpose, tier, and the decisions it influences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Tiering before shadow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tier drives validation depth; a system touching credit decisions is rarely low tier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Validation approach agreed at G0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what evidence Model Risk will require at G2 and G4, specified in advance so the studio collects it as it goes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Explainability requirement stated up front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if a Jazz output contributes to a denial, the reason must be articulable in adverse-action terms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Third-party record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SOC 2 or equivalent, data flows, subprocessors, exit provisions and data-return terms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Human-in-the-loop control documented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studio's core control through Day 80 is that a qualified human makes every decision; this must be a documented control, not an informal habit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If you do not have a model risk function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Smaller lenders often will not. Do not skip the discipline — compress it. Appoint a named individual (typically the credit policy owner) as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accountable reviewer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and require three artifacts before G2: a written description of what Jazz does and does not decide, a test result set against known-outcome loans, and a documented fallback procedure for when Jazz is unavailable or wrong. That is the minimum defensible package.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Escalation ladder and response times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310"/>
        <w:gridCol w:w="3744"/>
        <w:gridCol w:w="2059"/>
        <w:gridCol w:w="2247"/>
      </w:tblGrid>
      <w:tr>
        <w:trPr>
          <w:tblHeader/>
        </w:trPr>
        <w:tc>
          <w:tcPr>
            <w:tcW w:type="dxa" w:w="131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tcW w:type="dxa" w:w="224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Sev 1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Borrower harmed or potentially harmed; regulatory exposure; data incident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→ Sponsor + Compliance immediately</w:t>
            </w:r>
          </w:p>
        </w:tc>
        <w:tc>
          <w:tcPr>
            <w:tcW w:type="dxa" w:w="22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pauses by default; Steering within 24h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Sev 2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Systematic quality failure; Jazz materially wrong on a class of loans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→ Working Group + Model Risk</w:t>
            </w:r>
          </w:p>
        </w:tc>
        <w:tc>
          <w:tcPr>
            <w:tcW w:type="dxa" w:w="224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Triage within 1 business day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Sev 3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Isolated error, tuning issue, process friction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 backlog</w:t>
            </w:r>
          </w:p>
        </w:tc>
        <w:tc>
          <w:tcPr>
            <w:tcW w:type="dxa" w:w="22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Next weekly cycle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Sev 4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Enhancement request or observation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Improvement log</w:t>
            </w:r>
          </w:p>
        </w:tc>
        <w:tc>
          <w:tcPr>
            <w:tcW w:type="dxa" w:w="224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Reviewed at gate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Charter — to be completed and signed at G0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556"/>
        <w:gridCol w:w="5804"/>
      </w:tblGrid>
      <w:tr>
        <w:trPr>
          <w:tblHeader/>
        </w:trPr>
        <w:tc>
          <w:tcPr>
            <w:tcW w:type="dxa" w:w="355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80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 fill in</w:t>
            </w:r>
          </w:p>
        </w:tc>
      </w:tr>
      <w:tr>
        <w:tc>
          <w:tcPr>
            <w:tcW w:type="dxa" w:w="35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quorum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+ one control function + Studio Lead (suggested minimum)</w:t>
            </w:r>
          </w:p>
        </w:tc>
      </w:tr>
      <w:tr>
        <w:tc>
          <w:tcPr>
            <w:tcW w:type="dxa" w:w="355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 quorum</w:t>
            </w:r>
          </w:p>
        </w:tc>
        <w:tc>
          <w:tcPr>
            <w:tcW w:type="dxa" w:w="580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+ lead underwriter (suggested minimum)</w:t>
            </w:r>
          </w:p>
        </w:tc>
      </w:tr>
      <w:tr>
        <w:tc>
          <w:tcPr>
            <w:tcW w:type="dxa" w:w="35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record location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55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Standing block-right holders</w:t>
            </w:r>
          </w:p>
        </w:tc>
        <w:tc>
          <w:tcPr>
            <w:tcW w:type="dxa" w:w="580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5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delegate when unavailable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55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pause authority</w:t>
            </w:r>
          </w:p>
        </w:tc>
        <w:tc>
          <w:tcPr>
            <w:tcW w:type="dxa" w:w="580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5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Charter review date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Thu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 — tuning, blockers, defect triage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log, tuning backlog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— gate trajectory, risks, decisions reserved to Steering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record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each gate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review with control functions present and evidence circulated 48h ahead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Advance / Extend / Stop, recorded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On Sev 1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Emergency Steering within 24 hours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Pause / resume determination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45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Governance health check — is anything routinely escalating that should be delegated?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Charter amendment if needed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Charter signed by the Executive Sponsor before Day 1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Named individuals in every governance seat, with named delegates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 entered in the model inventory and tiered before the first shadow loan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Decision rights matrix published to the studio team and visibly used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gate outcome recorded in writing, including any dissent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Governance becomes a reporting ritual rather than a decision body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Every meeting must produce at least one recorded decision or be cancelled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Control functions engage only at G2 and block late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Standing membership from Day 0; validation evidence requirements stated at G0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CRO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is in the room for decisions about the vendor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excluded from gate votes and viability discussion by charter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unavailable and decisions queue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delegate with full authority; decisions do not wait for a calendar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 classified as "just a tool" to avoid model governance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Classification decision documented and reviewed by Model Risk at G0, not assumed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CRO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Governance Structure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Governance Structure</dc:title>
  <dc:creator>Design Studio Program Office</dc:creator>
  <dc:description>Who decides what, how fast, and who can stop the program.</dc:description>
  <cp:lastModifiedBy>Un-named</cp:lastModifiedBy>
  <cp:revision>1</cp:revision>
  <dcterms:created xsi:type="dcterms:W3CDTF">2026-08-03T23:55:14.483Z</dcterms:created>
  <dcterms:modified xsi:type="dcterms:W3CDTF">2026-08-03T23:55:14.483Z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