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E8FA3"/>
          <w:spacing w:val="30"/>
          <w:sz w:val="17"/>
          <w:szCs w:val="17"/>
        </w:rPr>
        <w:t xml:space="preserve">LOGISTICS — DEFINE PROOF OF VALUE  │  ONE-PAGER 05</w:t>
      </w:r>
    </w:p>
    <w:p>
      <w:pPr>
        <w:spacing w:after="60"/>
      </w:pPr>
      <w:r>
        <w:rPr>
          <w:rFonts w:ascii="Calibri" w:cs="Calibri" w:eastAsia="Calibri" w:hAnsi="Calibri"/>
          <w:b/>
          <w:bCs/>
          <w:color w:val="0E3A4F"/>
          <w:sz w:val="40"/>
          <w:szCs w:val="40"/>
        </w:rPr>
        <w:t xml:space="preserve">Define What Value Looks Like</w:t>
      </w:r>
    </w:p>
    <w:p>
      <w:pPr>
        <w:pBdr>
          <w:bottom w:val="single" w:color="1B6B7C" w:sz="12" w:space="8"/>
        </w:pBdr>
        <w:spacing w:after="200"/>
      </w:pPr>
      <w:r>
        <w:rPr>
          <w:rFonts w:ascii="Calibri" w:cs="Calibri" w:eastAsia="Calibri" w:hAnsi="Calibri"/>
          <w:i/>
          <w:iCs/>
          <w:color w:val="5A6B73"/>
          <w:sz w:val="21"/>
          <w:szCs w:val="21"/>
        </w:rPr>
        <w:t xml:space="preserve">Labor, quality and cycle-time — defined precisely enough to survive a finance review.</w:t>
      </w:r>
    </w:p>
    <w:p>
      <w:pPr>
        <w:pBdr>
          <w:bottom w:val="single" w:color="C9D6DC" w:sz="6" w:space="6"/>
        </w:pBdr>
        <w:spacing w:after="140" w:before="280"/>
      </w:pPr>
      <w:r>
        <w:rPr>
          <w:rFonts w:ascii="Calibri" w:cs="Calibri" w:eastAsia="Calibri" w:hAnsi="Calibri"/>
          <w:b/>
          <w:bCs/>
          <w:color w:val="1B6B7C"/>
          <w:spacing w:val="20"/>
          <w:sz w:val="20"/>
          <w:szCs w:val="20"/>
        </w:rPr>
        <w:t xml:space="preserve">PURPOSE</w:t>
      </w:r>
    </w:p>
    <w:p>
      <w:pPr>
        <w:spacing w:after="120" w:line="276"/>
      </w:pPr>
      <w:r>
        <w:rPr>
          <w:rFonts w:ascii="Calibri" w:cs="Calibri" w:eastAsia="Calibri" w:hAnsi="Calibri"/>
          <w:color w:val="1A1A1A"/>
          <w:sz w:val="21"/>
          <w:szCs w:val="21"/>
        </w:rPr>
        <w:t xml:space="preserve">To define, before any measurement begins, exactly what "better" means and how each measure is computed. Vague value definitions are the most common reason a technically successful pilot fails to convert into a funded program: the studio produces improvement that nobody agreed in advance would count. Every metric here has a precise definition, a data source, and a named trap.</w:t>
      </w:r>
    </w:p>
    <w:p>
      <w:pPr>
        <w:pBdr>
          <w:bottom w:val="single" w:color="C9D6DC" w:sz="6" w:space="6"/>
        </w:pBdr>
        <w:spacing w:after="140" w:before="280"/>
      </w:pPr>
      <w:r>
        <w:rPr>
          <w:rFonts w:ascii="Calibri" w:cs="Calibri" w:eastAsia="Calibri" w:hAnsi="Calibri"/>
          <w:b/>
          <w:bCs/>
          <w:color w:val="1B6B7C"/>
          <w:spacing w:val="20"/>
          <w:sz w:val="20"/>
          <w:szCs w:val="20"/>
        </w:rPr>
        <w:t xml:space="preserve">OWNER &amp; RACI</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182"/>
        <w:gridCol w:w="3744"/>
        <w:gridCol w:w="2434"/>
      </w:tblGrid>
      <w:tr>
        <w:trPr>
          <w:tblHeader/>
        </w:trPr>
        <w:tc>
          <w:tcPr>
            <w:tcW w:type="dxa" w:w="318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Role</w:t>
            </w:r>
          </w:p>
        </w:tc>
        <w:tc>
          <w:tcPr>
            <w:tcW w:type="dxa" w:w="374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Who (fill in at G0)</w:t>
            </w:r>
          </w:p>
        </w:tc>
        <w:tc>
          <w:tcPr>
            <w:tcW w:type="dxa" w:w="243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 / A / C / I</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Finance / FP&amp;A</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 owns the definitions that enter the business case</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assembles and maintains the metric set</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Head of Underwriting</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validates operational realism</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QC / Quality</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owns quality definitions</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Data / BI analyst</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implements the measurement</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DECISIONS THIS DOCUMENT MAKES</w:t>
      </w:r>
    </w:p>
    <w:p>
      <w:pPr>
        <w:pStyle w:val="ListParagraph"/>
        <w:numPr>
          <w:ilvl w:val="0"/>
          <w:numId w:val="2"/>
        </w:numPr>
        <w:spacing w:after="80" w:line="276"/>
      </w:pPr>
      <w:r>
        <w:rPr>
          <w:rFonts w:ascii="Calibri" w:cs="Calibri" w:eastAsia="Calibri" w:hAnsi="Calibri"/>
          <w:color w:val="1A1A1A"/>
          <w:sz w:val="21"/>
          <w:szCs w:val="21"/>
        </w:rPr>
        <w:t xml:space="preserve">Value is measured in </w:t>
      </w:r>
      <w:r>
        <w:rPr>
          <w:rFonts w:ascii="Calibri" w:cs="Calibri" w:eastAsia="Calibri" w:hAnsi="Calibri"/>
          <w:b/>
          <w:bCs/>
          <w:color w:val="1A1A1A"/>
          <w:sz w:val="21"/>
          <w:szCs w:val="21"/>
        </w:rPr>
        <w:t xml:space="preserve">three families — labor, quality, cycle-time — plus a guardrail set</w:t>
      </w:r>
      <w:r>
        <w:rPr>
          <w:rFonts w:ascii="Calibri" w:cs="Calibri" w:eastAsia="Calibri" w:hAnsi="Calibri"/>
          <w:color w:val="1A1A1A"/>
          <w:sz w:val="21"/>
          <w:szCs w:val="21"/>
        </w:rPr>
        <w:t xml:space="preserve"> that must not degrade. A gain in one family purchased by a loss in a guardrail is not value.</w:t>
      </w:r>
    </w:p>
    <w:p>
      <w:pPr>
        <w:pStyle w:val="ListParagraph"/>
        <w:numPr>
          <w:ilvl w:val="0"/>
          <w:numId w:val="2"/>
        </w:numPr>
        <w:spacing w:after="80" w:line="276"/>
      </w:pPr>
      <w:r>
        <w:rPr>
          <w:rFonts w:ascii="Calibri" w:cs="Calibri" w:eastAsia="Calibri" w:hAnsi="Calibri"/>
          <w:color w:val="1A1A1A"/>
          <w:sz w:val="21"/>
          <w:szCs w:val="21"/>
        </w:rPr>
        <w:t xml:space="preserve">Labor is measured as </w:t>
      </w:r>
      <w:r>
        <w:rPr>
          <w:rFonts w:ascii="Calibri" w:cs="Calibri" w:eastAsia="Calibri" w:hAnsi="Calibri"/>
          <w:b/>
          <w:bCs/>
          <w:color w:val="1A1A1A"/>
          <w:sz w:val="21"/>
          <w:szCs w:val="21"/>
        </w:rPr>
        <w:t xml:space="preserve">touch time per loan by role</w:t>
      </w:r>
      <w:r>
        <w:rPr>
          <w:rFonts w:ascii="Calibri" w:cs="Calibri" w:eastAsia="Calibri" w:hAnsi="Calibri"/>
          <w:color w:val="1A1A1A"/>
          <w:sz w:val="21"/>
          <w:szCs w:val="21"/>
        </w:rPr>
        <w:t xml:space="preserve">, never as headcount. The studio measures work; decisions about staffing are explicitly out of scope.</w:t>
      </w:r>
    </w:p>
    <w:p>
      <w:pPr>
        <w:pStyle w:val="ListParagraph"/>
        <w:numPr>
          <w:ilvl w:val="0"/>
          <w:numId w:val="2"/>
        </w:numPr>
        <w:spacing w:after="80" w:line="276"/>
      </w:pPr>
      <w:r>
        <w:rPr>
          <w:rFonts w:ascii="Calibri" w:cs="Calibri" w:eastAsia="Calibri" w:hAnsi="Calibri"/>
          <w:color w:val="1A1A1A"/>
          <w:sz w:val="21"/>
          <w:szCs w:val="21"/>
        </w:rPr>
        <w:t xml:space="preserve">Quality distinguishes </w:t>
      </w:r>
      <w:r>
        <w:rPr>
          <w:rFonts w:ascii="Calibri" w:cs="Calibri" w:eastAsia="Calibri" w:hAnsi="Calibri"/>
          <w:b/>
          <w:bCs/>
          <w:color w:val="1A1A1A"/>
          <w:sz w:val="21"/>
          <w:szCs w:val="21"/>
        </w:rPr>
        <w:t xml:space="preserve">false clears from false conditions.</w:t>
      </w:r>
      <w:r>
        <w:rPr>
          <w:rFonts w:ascii="Calibri" w:cs="Calibri" w:eastAsia="Calibri" w:hAnsi="Calibri"/>
          <w:color w:val="1A1A1A"/>
          <w:sz w:val="21"/>
          <w:szCs w:val="21"/>
        </w:rPr>
        <w:t xml:space="preserve"> They are not symmetric — a missed condition creates repurchase and credit exposure, while an unnecessary condition creates friction and cost. They get separate thresholds.</w:t>
      </w:r>
    </w:p>
    <w:p>
      <w:pPr>
        <w:pStyle w:val="ListParagraph"/>
        <w:numPr>
          <w:ilvl w:val="0"/>
          <w:numId w:val="2"/>
        </w:numPr>
        <w:spacing w:after="80" w:line="276"/>
      </w:pPr>
      <w:r>
        <w:rPr>
          <w:rFonts w:ascii="Calibri" w:cs="Calibri" w:eastAsia="Calibri" w:hAnsi="Calibri"/>
          <w:color w:val="1A1A1A"/>
          <w:sz w:val="21"/>
          <w:szCs w:val="21"/>
        </w:rPr>
        <w:t xml:space="preserve">All value is reported </w:t>
      </w:r>
      <w:r>
        <w:rPr>
          <w:rFonts w:ascii="Calibri" w:cs="Calibri" w:eastAsia="Calibri" w:hAnsi="Calibri"/>
          <w:b/>
          <w:bCs/>
          <w:color w:val="1A1A1A"/>
          <w:sz w:val="21"/>
          <w:szCs w:val="21"/>
        </w:rPr>
        <w:t xml:space="preserve">net of cost</w:t>
      </w:r>
      <w:r>
        <w:rPr>
          <w:rFonts w:ascii="Calibri" w:cs="Calibri" w:eastAsia="Calibri" w:hAnsi="Calibri"/>
          <w:color w:val="1A1A1A"/>
          <w:sz w:val="21"/>
          <w:szCs w:val="21"/>
        </w:rPr>
        <w:t xml:space="preserve">: license, integration, and the review overhead the workflow adds.</w:t>
      </w:r>
    </w:p>
    <w:p>
      <w:pPr>
        <w:pStyle w:val="ListParagraph"/>
        <w:numPr>
          <w:ilvl w:val="0"/>
          <w:numId w:val="2"/>
        </w:numPr>
        <w:spacing w:after="80" w:line="276"/>
      </w:pPr>
      <w:r>
        <w:rPr>
          <w:rFonts w:ascii="Calibri" w:cs="Calibri" w:eastAsia="Calibri" w:hAnsi="Calibri"/>
          <w:color w:val="1A1A1A"/>
          <w:sz w:val="21"/>
          <w:szCs w:val="21"/>
        </w:rPr>
        <w:t xml:space="preserve">Any metric that cannot be computed from an auditable source is </w:t>
      </w:r>
      <w:r>
        <w:rPr>
          <w:rFonts w:ascii="Calibri" w:cs="Calibri" w:eastAsia="Calibri" w:hAnsi="Calibri"/>
          <w:b/>
          <w:bCs/>
          <w:color w:val="1A1A1A"/>
          <w:sz w:val="21"/>
          <w:szCs w:val="21"/>
        </w:rPr>
        <w:t xml:space="preserve">descriptive only</w:t>
      </w:r>
      <w:r>
        <w:rPr>
          <w:rFonts w:ascii="Calibri" w:cs="Calibri" w:eastAsia="Calibri" w:hAnsi="Calibri"/>
          <w:color w:val="1A1A1A"/>
          <w:sz w:val="21"/>
          <w:szCs w:val="21"/>
        </w:rPr>
        <w:t xml:space="preserve"> and cannot carry the business case.</w:t>
      </w:r>
    </w:p>
    <w:p>
      <w:pPr>
        <w:pBdr>
          <w:bottom w:val="single" w:color="C9D6DC" w:sz="6" w:space="6"/>
        </w:pBdr>
        <w:spacing w:after="140" w:before="280"/>
      </w:pPr>
      <w:r>
        <w:rPr>
          <w:rFonts w:ascii="Calibri" w:cs="Calibri" w:eastAsia="Calibri" w:hAnsi="Calibri"/>
          <w:b/>
          <w:bCs/>
          <w:color w:val="1B6B7C"/>
          <w:spacing w:val="20"/>
          <w:sz w:val="20"/>
          <w:szCs w:val="20"/>
        </w:rPr>
        <w:t xml:space="preserve">THE FRAMEWORK</w:t>
      </w:r>
    </w:p>
    <w:p>
      <w:pPr>
        <w:spacing w:after="80" w:before="200"/>
      </w:pPr>
      <w:r>
        <w:rPr>
          <w:rFonts w:ascii="Calibri" w:cs="Calibri" w:eastAsia="Calibri" w:hAnsi="Calibri"/>
          <w:b/>
          <w:bCs/>
          <w:color w:val="0E3A4F"/>
          <w:sz w:val="22"/>
          <w:szCs w:val="22"/>
        </w:rPr>
        <w:t xml:space="preserve">Family 1 — Labor</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1872"/>
        <w:gridCol w:w="3182"/>
        <w:gridCol w:w="1684"/>
        <w:gridCol w:w="2622"/>
      </w:tblGrid>
      <w:tr>
        <w:trPr>
          <w:tblHeader/>
        </w:trPr>
        <w:tc>
          <w:tcPr>
            <w:tcW w:type="dxa" w:w="187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Metric</w:t>
            </w:r>
          </w:p>
        </w:tc>
        <w:tc>
          <w:tcPr>
            <w:tcW w:type="dxa" w:w="318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Precise definition</w:t>
            </w:r>
          </w:p>
        </w:tc>
        <w:tc>
          <w:tcPr>
            <w:tcW w:type="dxa" w:w="168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Source</w:t>
            </w:r>
          </w:p>
        </w:tc>
        <w:tc>
          <w:tcPr>
            <w:tcW w:type="dxa" w:w="262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The trap</w:t>
            </w:r>
          </w:p>
        </w:tc>
      </w:tr>
      <w:tr>
        <w:tc>
          <w:tcPr>
            <w:tcW w:type="dxa" w:w="1872"/>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Underwriter touch time</w:t>
            </w:r>
          </w:p>
        </w:tc>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Sum of active minutes on a file by an underwriter, from first open to final decision, excluding waiting</w:t>
            </w:r>
          </w:p>
        </w:tc>
        <w:tc>
          <w:tcPr>
            <w:tcW w:type="dxa" w:w="168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Observation + LOS event log</w:t>
            </w:r>
          </w:p>
        </w:tc>
        <w:tc>
          <w:tcPr>
            <w:tcW w:type="dxa" w:w="262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Elapsed time is not touch time. Measuring elapsed inflates the apparent gain enormously.</w:t>
            </w:r>
          </w:p>
        </w:tc>
      </w:tr>
      <w:tr>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Processor touch time</w:t>
            </w:r>
          </w:p>
        </w:tc>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Active minutes spent gathering, chasing and indexing documents</w:t>
            </w:r>
          </w:p>
        </w:tc>
        <w:tc>
          <w:tcPr>
            <w:tcW w:type="dxa" w:w="168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Observation + LOS</w:t>
            </w:r>
          </w:p>
        </w:tc>
        <w:tc>
          <w:tcPr>
            <w:tcW w:type="dxa" w:w="262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Chasing borrowers is often the real cost and is not affected by Jazz.</w:t>
            </w:r>
          </w:p>
        </w:tc>
      </w:tr>
      <w:tr>
        <w:tc>
          <w:tcPr>
            <w:tcW w:type="dxa" w:w="1872"/>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Touches per loan</w:t>
            </w:r>
          </w:p>
        </w:tc>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Count of discrete human interactions with the file</w:t>
            </w:r>
          </w:p>
        </w:tc>
        <w:tc>
          <w:tcPr>
            <w:tcW w:type="dxa" w:w="168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LOS event log</w:t>
            </w:r>
          </w:p>
        </w:tc>
        <w:tc>
          <w:tcPr>
            <w:tcW w:type="dxa" w:w="262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"touch" needs one definition applied identically before and after.</w:t>
            </w:r>
          </w:p>
        </w:tc>
      </w:tr>
      <w:tr>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Condition clearing effort</w:t>
            </w:r>
          </w:p>
        </w:tc>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Active minutes clearing conditions after initial decision</w:t>
            </w:r>
          </w:p>
        </w:tc>
        <w:tc>
          <w:tcPr>
            <w:tcW w:type="dxa" w:w="168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Observation</w:t>
            </w:r>
          </w:p>
        </w:tc>
        <w:tc>
          <w:tcPr>
            <w:tcW w:type="dxa" w:w="262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Frequently larger than the initial underwrite and frequently forgotten.</w:t>
            </w:r>
          </w:p>
        </w:tc>
      </w:tr>
      <w:tr>
        <w:tc>
          <w:tcPr>
            <w:tcW w:type="dxa" w:w="1872"/>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Review overhead</w:t>
            </w:r>
          </w:p>
        </w:tc>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Minutes spent reviewing Jazz output — the new cost the workflow adds</w:t>
            </w:r>
          </w:p>
        </w:tc>
        <w:tc>
          <w:tcPr>
            <w:tcW w:type="dxa" w:w="168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log</w:t>
            </w:r>
          </w:p>
        </w:tc>
        <w:tc>
          <w:tcPr>
            <w:tcW w:type="dxa" w:w="262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Omitting this overstates net labor value. It must appear as a negative.</w:t>
            </w:r>
          </w:p>
        </w:tc>
      </w:tr>
    </w:tbl>
    <w:p>
      <w:pPr>
        <w:spacing w:after="160"/>
      </w:pPr>
    </w:p>
    <w:p>
      <w:pPr>
        <w:spacing w:after="80" w:before="200"/>
      </w:pPr>
      <w:r>
        <w:rPr>
          <w:rFonts w:ascii="Calibri" w:cs="Calibri" w:eastAsia="Calibri" w:hAnsi="Calibri"/>
          <w:b/>
          <w:bCs/>
          <w:color w:val="0E3A4F"/>
          <w:sz w:val="22"/>
          <w:szCs w:val="22"/>
        </w:rPr>
        <w:t xml:space="preserve">Family 2 — Quality</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1872"/>
        <w:gridCol w:w="3182"/>
        <w:gridCol w:w="1684"/>
        <w:gridCol w:w="2622"/>
      </w:tblGrid>
      <w:tr>
        <w:trPr>
          <w:tblHeader/>
        </w:trPr>
        <w:tc>
          <w:tcPr>
            <w:tcW w:type="dxa" w:w="187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Metric</w:t>
            </w:r>
          </w:p>
        </w:tc>
        <w:tc>
          <w:tcPr>
            <w:tcW w:type="dxa" w:w="318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Precise definition</w:t>
            </w:r>
          </w:p>
        </w:tc>
        <w:tc>
          <w:tcPr>
            <w:tcW w:type="dxa" w:w="168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Source</w:t>
            </w:r>
          </w:p>
        </w:tc>
        <w:tc>
          <w:tcPr>
            <w:tcW w:type="dxa" w:w="262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The trap</w:t>
            </w:r>
          </w:p>
        </w:tc>
      </w:tr>
      <w:tr>
        <w:tc>
          <w:tcPr>
            <w:tcW w:type="dxa" w:w="1872"/>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Document recognition accuracy</w:t>
            </w:r>
          </w:p>
        </w:tc>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Correctly classified documents ÷ total documents</w:t>
            </w:r>
          </w:p>
        </w:tc>
        <w:tc>
          <w:tcPr>
            <w:tcW w:type="dxa" w:w="168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comparison log</w:t>
            </w:r>
          </w:p>
        </w:tc>
        <w:tc>
          <w:tcPr>
            <w:tcW w:type="dxa" w:w="262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Easy documents dominate the mix and flatter the average. Report by document type.</w:t>
            </w:r>
          </w:p>
        </w:tc>
      </w:tr>
      <w:tr>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Data extraction accuracy</w:t>
            </w:r>
          </w:p>
        </w:tc>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Correctly extracted fields ÷ total fields, weighted by materiality</w:t>
            </w:r>
          </w:p>
        </w:tc>
        <w:tc>
          <w:tcPr>
            <w:tcW w:type="dxa" w:w="168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Comparison log</w:t>
            </w:r>
          </w:p>
        </w:tc>
        <w:tc>
          <w:tcPr>
            <w:tcW w:type="dxa" w:w="262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An unweighted average lets a correct ZIP code offset a wrong income figure.</w:t>
            </w:r>
          </w:p>
        </w:tc>
      </w:tr>
      <w:tr>
        <w:tc>
          <w:tcPr>
            <w:tcW w:type="dxa" w:w="1872"/>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Condition precision</w:t>
            </w:r>
          </w:p>
        </w:tc>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Conditions raised by Jazz that a human agrees were warranted</w:t>
            </w:r>
          </w:p>
        </w:tc>
        <w:tc>
          <w:tcPr>
            <w:tcW w:type="dxa" w:w="168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UW review</w:t>
            </w:r>
          </w:p>
        </w:tc>
        <w:tc>
          <w:tcPr>
            <w:tcW w:type="dxa" w:w="262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High precision alone can hide poor recall.</w:t>
            </w:r>
          </w:p>
        </w:tc>
      </w:tr>
      <w:tr>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Condition recall</w:t>
            </w:r>
          </w:p>
        </w:tc>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Warranted conditions Jazz raised ÷ all warranted conditions</w:t>
            </w:r>
          </w:p>
        </w:tc>
        <w:tc>
          <w:tcPr>
            <w:tcW w:type="dxa" w:w="168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UW review</w:t>
            </w:r>
          </w:p>
        </w:tc>
        <w:tc>
          <w:tcPr>
            <w:tcW w:type="dxa" w:w="262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The one that matters for credit risk, and the harder one to measure.</w:t>
            </w:r>
          </w:p>
        </w:tc>
      </w:tr>
      <w:tr>
        <w:tc>
          <w:tcPr>
            <w:tcW w:type="dxa" w:w="1872"/>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False clear rate</w:t>
            </w:r>
          </w:p>
        </w:tc>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Files where Jazz raised no issue but a human found a material one</w:t>
            </w:r>
          </w:p>
        </w:tc>
        <w:tc>
          <w:tcPr>
            <w:tcW w:type="dxa" w:w="168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Comparison log</w:t>
            </w:r>
          </w:p>
        </w:tc>
        <w:tc>
          <w:tcPr>
            <w:tcW w:type="dxa" w:w="2622"/>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The most important quality metric in the pack.</w:t>
            </w:r>
            <w:r>
              <w:rPr>
                <w:rFonts w:ascii="Calibri" w:cs="Calibri" w:eastAsia="Calibri" w:hAnsi="Calibri"/>
                <w:color w:val="1A1A1A"/>
                <w:sz w:val="21"/>
                <w:szCs w:val="21"/>
              </w:rPr>
              <w:t xml:space="preserve"> Low frequency, high severity.</w:t>
            </w:r>
          </w:p>
        </w:tc>
      </w:tr>
      <w:tr>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Post-close defect rate</w:t>
            </w:r>
          </w:p>
        </w:tc>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QC-identified defects per 100 closed loans</w:t>
            </w:r>
          </w:p>
        </w:tc>
        <w:tc>
          <w:tcPr>
            <w:tcW w:type="dxa" w:w="168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QC</w:t>
            </w:r>
          </w:p>
        </w:tc>
        <w:tc>
          <w:tcPr>
            <w:tcW w:type="dxa" w:w="262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Lags by weeks — will be thin inside 90 days; state it as directional.</w:t>
            </w:r>
          </w:p>
        </w:tc>
      </w:tr>
      <w:tr>
        <w:tc>
          <w:tcPr>
            <w:tcW w:type="dxa" w:w="1872"/>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Rework rate</w:t>
            </w:r>
          </w:p>
        </w:tc>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Files requiring a re-decision or re-work after initial decision</w:t>
            </w:r>
          </w:p>
        </w:tc>
        <w:tc>
          <w:tcPr>
            <w:tcW w:type="dxa" w:w="168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LOS</w:t>
            </w:r>
          </w:p>
        </w:tc>
        <w:tc>
          <w:tcPr>
            <w:tcW w:type="dxa" w:w="262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Definition drifts easily between teams.</w:t>
            </w:r>
          </w:p>
        </w:tc>
      </w:tr>
    </w:tbl>
    <w:p>
      <w:pPr>
        <w:spacing w:after="160"/>
      </w:pPr>
    </w:p>
    <w:p>
      <w:pPr>
        <w:spacing w:after="80" w:before="200"/>
      </w:pPr>
      <w:r>
        <w:rPr>
          <w:rFonts w:ascii="Calibri" w:cs="Calibri" w:eastAsia="Calibri" w:hAnsi="Calibri"/>
          <w:b/>
          <w:bCs/>
          <w:color w:val="0E3A4F"/>
          <w:sz w:val="22"/>
          <w:szCs w:val="22"/>
        </w:rPr>
        <w:t xml:space="preserve">Family 3 — Cycle-time</w:t>
      </w:r>
    </w:p>
    <w:p>
      <w:pPr>
        <w:spacing w:after="120" w:line="276"/>
      </w:pPr>
      <w:r>
        <w:rPr>
          <w:rFonts w:ascii="Calibri" w:cs="Calibri" w:eastAsia="Calibri" w:hAnsi="Calibri"/>
          <w:color w:val="1A1A1A"/>
          <w:sz w:val="21"/>
          <w:szCs w:val="21"/>
        </w:rPr>
        <w:t xml:space="preserve">One structural caveat governs this entire family, and it should be stated at every gate: </w:t>
      </w:r>
      <w:r>
        <w:rPr>
          <w:rFonts w:ascii="Calibri" w:cs="Calibri" w:eastAsia="Calibri" w:hAnsi="Calibri"/>
          <w:b/>
          <w:bCs/>
          <w:color w:val="1A1A1A"/>
          <w:sz w:val="21"/>
          <w:szCs w:val="21"/>
        </w:rPr>
        <w:t xml:space="preserve">shadow mode cannot measure cycle-time improvement.</w:t>
      </w:r>
      <w:r>
        <w:rPr>
          <w:rFonts w:ascii="Calibri" w:cs="Calibri" w:eastAsia="Calibri" w:hAnsi="Calibri"/>
          <w:color w:val="1A1A1A"/>
          <w:sz w:val="21"/>
          <w:szCs w:val="21"/>
        </w:rPr>
        <w:t xml:space="preserve"> While humans make every decision, actual elapsed time is unchanged by definition. Through Day 60 the studio can only measure the components of cycle time and model the effect. Genuine cycle-time evidence exists only from the Phase 3 limited-live period — which is precisely why Gate 3 exists and why the live phase cannot be dropped when the schedule tightens.</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1872"/>
        <w:gridCol w:w="3182"/>
        <w:gridCol w:w="1684"/>
        <w:gridCol w:w="2622"/>
      </w:tblGrid>
      <w:tr>
        <w:trPr>
          <w:tblHeader/>
        </w:trPr>
        <w:tc>
          <w:tcPr>
            <w:tcW w:type="dxa" w:w="187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Metric</w:t>
            </w:r>
          </w:p>
        </w:tc>
        <w:tc>
          <w:tcPr>
            <w:tcW w:type="dxa" w:w="318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Precise definition</w:t>
            </w:r>
          </w:p>
        </w:tc>
        <w:tc>
          <w:tcPr>
            <w:tcW w:type="dxa" w:w="168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Source</w:t>
            </w:r>
          </w:p>
        </w:tc>
        <w:tc>
          <w:tcPr>
            <w:tcW w:type="dxa" w:w="262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The trap</w:t>
            </w:r>
          </w:p>
        </w:tc>
      </w:tr>
      <w:tr>
        <w:tc>
          <w:tcPr>
            <w:tcW w:type="dxa" w:w="1872"/>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Application to CTC</w:t>
            </w:r>
          </w:p>
        </w:tc>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Calendar days from complete application to clear-to-close</w:t>
            </w:r>
          </w:p>
        </w:tc>
        <w:tc>
          <w:tcPr>
            <w:tcW w:type="dxa" w:w="168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LOS</w:t>
            </w:r>
          </w:p>
        </w:tc>
        <w:tc>
          <w:tcPr>
            <w:tcW w:type="dxa" w:w="262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Dominated by borrower response time, which Jazz does not change.</w:t>
            </w:r>
          </w:p>
        </w:tc>
      </w:tr>
      <w:tr>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Decision turn time</w:t>
            </w:r>
          </w:p>
        </w:tc>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Business hours from file assignment to initial decision</w:t>
            </w:r>
          </w:p>
        </w:tc>
        <w:tc>
          <w:tcPr>
            <w:tcW w:type="dxa" w:w="168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LOS</w:t>
            </w:r>
          </w:p>
        </w:tc>
        <w:tc>
          <w:tcPr>
            <w:tcW w:type="dxa" w:w="262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The segment Jazz most plausibly affects — measure it separately.</w:t>
            </w:r>
          </w:p>
        </w:tc>
      </w:tr>
      <w:tr>
        <w:tc>
          <w:tcPr>
            <w:tcW w:type="dxa" w:w="1872"/>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Condition turn time</w:t>
            </w:r>
          </w:p>
        </w:tc>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Hours from document receipt to condition cleared</w:t>
            </w:r>
          </w:p>
        </w:tc>
        <w:tc>
          <w:tcPr>
            <w:tcW w:type="dxa" w:w="168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LOS</w:t>
            </w:r>
          </w:p>
        </w:tc>
        <w:tc>
          <w:tcPr>
            <w:tcW w:type="dxa" w:w="262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Business hours, not calendar hours, or weekends distort everything.</w:t>
            </w:r>
          </w:p>
        </w:tc>
      </w:tr>
      <w:tr>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Queue / dwell time</w:t>
            </w:r>
          </w:p>
        </w:tc>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Time a file sits unworked</w:t>
            </w:r>
          </w:p>
        </w:tc>
        <w:tc>
          <w:tcPr>
            <w:tcW w:type="dxa" w:w="168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LOS</w:t>
            </w:r>
          </w:p>
        </w:tc>
        <w:tc>
          <w:tcPr>
            <w:tcW w:type="dxa" w:w="262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Reveals capacity effects a touch-time metric hides.</w:t>
            </w:r>
          </w:p>
        </w:tc>
      </w:tr>
      <w:tr>
        <w:tc>
          <w:tcPr>
            <w:tcW w:type="dxa" w:w="1872"/>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Time in touch vs. waiting</w:t>
            </w:r>
          </w:p>
        </w:tc>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Ratio of active work to elapsed</w:t>
            </w:r>
          </w:p>
        </w:tc>
        <w:tc>
          <w:tcPr>
            <w:tcW w:type="dxa" w:w="168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Derived</w:t>
            </w:r>
          </w:p>
        </w:tc>
        <w:tc>
          <w:tcPr>
            <w:tcW w:type="dxa" w:w="262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The honest frame for what automation can and cannot compress.</w:t>
            </w:r>
          </w:p>
        </w:tc>
      </w:tr>
    </w:tbl>
    <w:p>
      <w:pPr>
        <w:spacing w:after="160"/>
      </w:pPr>
    </w:p>
    <w:p>
      <w:pPr>
        <w:spacing w:after="80" w:before="200"/>
      </w:pPr>
      <w:r>
        <w:rPr>
          <w:rFonts w:ascii="Calibri" w:cs="Calibri" w:eastAsia="Calibri" w:hAnsi="Calibri"/>
          <w:b/>
          <w:bCs/>
          <w:color w:val="0E3A4F"/>
          <w:sz w:val="22"/>
          <w:szCs w:val="22"/>
        </w:rPr>
        <w:t xml:space="preserve">Guardrails — must not degrade</w:t>
      </w:r>
    </w:p>
    <w:p>
      <w:pPr>
        <w:spacing w:after="120" w:line="276"/>
      </w:pPr>
      <w:r>
        <w:rPr>
          <w:rFonts w:ascii="Calibri" w:cs="Calibri" w:eastAsia="Calibri" w:hAnsi="Calibri"/>
          <w:color w:val="1A1A1A"/>
          <w:sz w:val="21"/>
          <w:szCs w:val="21"/>
        </w:rPr>
        <w:t xml:space="preserve">These are not success metrics. They are the conditions under which a labor or cycle-time gain counts as value at all. A breach of any guardrail is a Gate blocker regardless of how strong the headline numbers are.</w:t>
      </w:r>
    </w:p>
    <w:p>
      <w:pPr>
        <w:pStyle w:val="ListParagraph"/>
        <w:numPr>
          <w:ilvl w:val="0"/>
          <w:numId w:val="3"/>
        </w:numPr>
        <w:spacing w:after="80" w:line="276"/>
      </w:pPr>
      <w:r>
        <w:rPr>
          <w:rFonts w:ascii="Calibri" w:cs="Calibri" w:eastAsia="Calibri" w:hAnsi="Calibri"/>
          <w:color w:val="1A1A1A"/>
          <w:sz w:val="21"/>
          <w:szCs w:val="21"/>
        </w:rPr>
        <w:t xml:space="preserve">Credit quality — no increase in material defects or exception rates</w:t>
      </w:r>
    </w:p>
    <w:p>
      <w:pPr>
        <w:pStyle w:val="ListParagraph"/>
        <w:numPr>
          <w:ilvl w:val="0"/>
          <w:numId w:val="3"/>
        </w:numPr>
        <w:spacing w:after="80" w:line="276"/>
      </w:pPr>
      <w:r>
        <w:rPr>
          <w:rFonts w:ascii="Calibri" w:cs="Calibri" w:eastAsia="Calibri" w:hAnsi="Calibri"/>
          <w:color w:val="1A1A1A"/>
          <w:sz w:val="21"/>
          <w:szCs w:val="21"/>
        </w:rPr>
        <w:t xml:space="preserve">Fair lending — no adverse pattern in outcomes by protected class in the live cohort</w:t>
      </w:r>
    </w:p>
    <w:p>
      <w:pPr>
        <w:pStyle w:val="ListParagraph"/>
        <w:numPr>
          <w:ilvl w:val="0"/>
          <w:numId w:val="3"/>
        </w:numPr>
        <w:spacing w:after="80" w:line="276"/>
      </w:pPr>
      <w:r>
        <w:rPr>
          <w:rFonts w:ascii="Calibri" w:cs="Calibri" w:eastAsia="Calibri" w:hAnsi="Calibri"/>
          <w:color w:val="1A1A1A"/>
          <w:sz w:val="21"/>
          <w:szCs w:val="21"/>
        </w:rPr>
        <w:t xml:space="preserve">Borrower experience — no increase in complaints or in documents requested from the borrower</w:t>
      </w:r>
    </w:p>
    <w:p>
      <w:pPr>
        <w:pStyle w:val="ListParagraph"/>
        <w:numPr>
          <w:ilvl w:val="0"/>
          <w:numId w:val="3"/>
        </w:numPr>
        <w:spacing w:after="80" w:line="276"/>
      </w:pPr>
      <w:r>
        <w:rPr>
          <w:rFonts w:ascii="Calibri" w:cs="Calibri" w:eastAsia="Calibri" w:hAnsi="Calibri"/>
          <w:color w:val="1A1A1A"/>
          <w:sz w:val="21"/>
          <w:szCs w:val="21"/>
        </w:rPr>
        <w:t xml:space="preserve">Employee experience — no sustained decline in studio participant sentiment</w:t>
      </w:r>
    </w:p>
    <w:p>
      <w:pPr>
        <w:pStyle w:val="ListParagraph"/>
        <w:numPr>
          <w:ilvl w:val="0"/>
          <w:numId w:val="3"/>
        </w:numPr>
        <w:spacing w:after="80" w:line="276"/>
      </w:pPr>
      <w:r>
        <w:rPr>
          <w:rFonts w:ascii="Calibri" w:cs="Calibri" w:eastAsia="Calibri" w:hAnsi="Calibri"/>
          <w:color w:val="1A1A1A"/>
          <w:sz w:val="21"/>
          <w:szCs w:val="21"/>
        </w:rPr>
        <w:t xml:space="preserve">Investor and agency compliance — no findings attributable to the studio workflow</w:t>
      </w:r>
    </w:p>
    <w:p>
      <w:pPr>
        <w:pStyle w:val="ListParagraph"/>
        <w:numPr>
          <w:ilvl w:val="0"/>
          <w:numId w:val="3"/>
        </w:numPr>
        <w:spacing w:after="80" w:line="276"/>
      </w:pPr>
      <w:r>
        <w:rPr>
          <w:rFonts w:ascii="Calibri" w:cs="Calibri" w:eastAsia="Calibri" w:hAnsi="Calibri"/>
          <w:color w:val="1A1A1A"/>
          <w:sz w:val="21"/>
          <w:szCs w:val="21"/>
        </w:rPr>
        <w:t xml:space="preserve">Data security — zero incidents involving borrower data in the Jazz pipeline</w:t>
      </w:r>
    </w:p>
    <w:p>
      <w:pPr>
        <w:pBdr>
          <w:bottom w:val="single" w:color="C9D6DC" w:sz="6" w:space="6"/>
        </w:pBdr>
        <w:spacing w:after="140" w:before="280"/>
      </w:pPr>
      <w:r>
        <w:rPr>
          <w:rFonts w:ascii="Calibri" w:cs="Calibri" w:eastAsia="Calibri" w:hAnsi="Calibri"/>
          <w:b/>
          <w:bCs/>
          <w:color w:val="1B6B7C"/>
          <w:spacing w:val="20"/>
          <w:sz w:val="20"/>
          <w:szCs w:val="20"/>
        </w:rPr>
        <w:t xml:space="preserve">ARTIFACTS &amp; TEMPLATES</w:t>
      </w:r>
    </w:p>
    <w:p>
      <w:pPr>
        <w:spacing w:after="80" w:before="200"/>
      </w:pPr>
      <w:r>
        <w:rPr>
          <w:rFonts w:ascii="Calibri" w:cs="Calibri" w:eastAsia="Calibri" w:hAnsi="Calibri"/>
          <w:b/>
          <w:bCs/>
          <w:color w:val="0E3A4F"/>
          <w:sz w:val="22"/>
          <w:szCs w:val="22"/>
        </w:rPr>
        <w:t xml:space="preserve">Value hypothesis — state it before measuring, then test it</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1497"/>
        <w:gridCol w:w="3182"/>
        <w:gridCol w:w="2246"/>
        <w:gridCol w:w="2435"/>
      </w:tblGrid>
      <w:tr>
        <w:trPr>
          <w:tblHeader/>
        </w:trPr>
        <w:tc>
          <w:tcPr>
            <w:tcW w:type="dxa" w:w="1497"/>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Family</w:t>
            </w:r>
          </w:p>
        </w:tc>
        <w:tc>
          <w:tcPr>
            <w:tcW w:type="dxa" w:w="318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Hypothesis to fill in at G0</w:t>
            </w:r>
          </w:p>
        </w:tc>
        <w:tc>
          <w:tcPr>
            <w:tcW w:type="dxa" w:w="2246"/>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Primary metric</w:t>
            </w:r>
          </w:p>
        </w:tc>
        <w:tc>
          <w:tcPr>
            <w:tcW w:type="dxa" w:w="2435"/>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Believed because</w:t>
            </w:r>
          </w:p>
        </w:tc>
      </w:tr>
      <w:tr>
        <w:tc>
          <w:tcPr>
            <w:tcW w:type="dxa" w:w="149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Labor</w:t>
            </w:r>
          </w:p>
        </w:tc>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 reduces underwriter touch time per loan by ___%</w:t>
            </w:r>
          </w:p>
        </w:tc>
        <w:tc>
          <w:tcPr>
            <w:tcW w:type="dxa" w:w="224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UW touch time</w:t>
            </w:r>
          </w:p>
        </w:tc>
        <w:tc>
          <w:tcPr>
            <w:tcW w:type="dxa" w:w="243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149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Quality</w:t>
            </w:r>
          </w:p>
        </w:tc>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 raises condition recall to ___% with no rise in false clears</w:t>
            </w:r>
          </w:p>
        </w:tc>
        <w:tc>
          <w:tcPr>
            <w:tcW w:type="dxa" w:w="224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False clear rate</w:t>
            </w:r>
          </w:p>
        </w:tc>
        <w:tc>
          <w:tcPr>
            <w:tcW w:type="dxa" w:w="243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149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Cycle-time</w:t>
            </w:r>
          </w:p>
        </w:tc>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 reduces decision turn time by ___ hours</w:t>
            </w:r>
          </w:p>
        </w:tc>
        <w:tc>
          <w:tcPr>
            <w:tcW w:type="dxa" w:w="224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Decision turn time</w:t>
            </w:r>
          </w:p>
        </w:tc>
        <w:tc>
          <w:tcPr>
            <w:tcW w:type="dxa" w:w="243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149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Cost</w:t>
            </w:r>
          </w:p>
        </w:tc>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Net cost per loan falls by $___ after license and review overhead</w:t>
            </w:r>
          </w:p>
        </w:tc>
        <w:tc>
          <w:tcPr>
            <w:tcW w:type="dxa" w:w="224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Net cost per loan</w:t>
            </w:r>
          </w:p>
        </w:tc>
        <w:tc>
          <w:tcPr>
            <w:tcW w:type="dxa" w:w="243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bl>
    <w:p>
      <w:pPr>
        <w:spacing w:after="160" w:before="80"/>
      </w:pPr>
      <w:r>
        <w:rPr>
          <w:rFonts w:ascii="Calibri" w:cs="Calibri" w:eastAsia="Calibri" w:hAnsi="Calibri"/>
          <w:i/>
          <w:iCs/>
          <w:color w:val="5A6B73"/>
          <w:sz w:val="18"/>
          <w:szCs w:val="18"/>
        </w:rPr>
        <w:t xml:space="preserve">Writing the hypothesis down before measurement is what converts a demo into an experiment.</w:t>
      </w:r>
    </w:p>
    <w:p>
      <w:pPr>
        <w:spacing w:after="80" w:before="200"/>
      </w:pPr>
      <w:r>
        <w:rPr>
          <w:rFonts w:ascii="Calibri" w:cs="Calibri" w:eastAsia="Calibri" w:hAnsi="Calibri"/>
          <w:b/>
          <w:bCs/>
          <w:color w:val="0E3A4F"/>
          <w:sz w:val="22"/>
          <w:szCs w:val="22"/>
        </w:rPr>
        <w:t xml:space="preserve">Net value calculation — the only number Finance will actually use</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4680"/>
        <w:gridCol w:w="4680"/>
      </w:tblGrid>
      <w:tr>
        <w:trPr>
          <w:tblHeader/>
        </w:trPr>
        <w:tc>
          <w:tcPr>
            <w:tcW w:type="dxa" w:w="468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Line</w:t>
            </w:r>
          </w:p>
        </w:tc>
        <w:tc>
          <w:tcPr>
            <w:tcW w:type="dxa" w:w="468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Basis</w:t>
            </w:r>
          </w:p>
        </w:tc>
      </w:tr>
      <w:tr>
        <w:tc>
          <w:tcPr>
            <w:tcW w:type="dxa" w:w="468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Labor minutes saved per loan × fully loaded cost per minute</w:t>
            </w:r>
          </w:p>
        </w:tc>
        <w:tc>
          <w:tcPr>
            <w:tcW w:type="dxa" w:w="468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measurement</w:t>
            </w:r>
          </w:p>
        </w:tc>
      </w:tr>
      <w:tr>
        <w:tc>
          <w:tcPr>
            <w:tcW w:type="dxa" w:w="468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Less: review overhead minutes × cost per minute</w:t>
            </w:r>
          </w:p>
        </w:tc>
        <w:tc>
          <w:tcPr>
            <w:tcW w:type="dxa" w:w="468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measurement — do not omit</w:t>
            </w:r>
          </w:p>
        </w:tc>
      </w:tr>
      <w:tr>
        <w:tc>
          <w:tcPr>
            <w:tcW w:type="dxa" w:w="468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Less: license cost per loan at studio volume and at scale volume</w:t>
            </w:r>
          </w:p>
        </w:tc>
        <w:tc>
          <w:tcPr>
            <w:tcW w:type="dxa" w:w="468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Contract</w:t>
            </w:r>
          </w:p>
        </w:tc>
      </w:tr>
      <w:tr>
        <w:tc>
          <w:tcPr>
            <w:tcW w:type="dxa" w:w="468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Less: amortised integration and run cost</w:t>
            </w:r>
          </w:p>
        </w:tc>
        <w:tc>
          <w:tcPr>
            <w:tcW w:type="dxa" w:w="468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IT estimate</w:t>
            </w:r>
          </w:p>
        </w:tc>
      </w:tr>
      <w:tr>
        <w:tc>
          <w:tcPr>
            <w:tcW w:type="dxa" w:w="468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Plus: quality benefit (avoided defect / repurchase exposure)</w:t>
            </w:r>
          </w:p>
        </w:tc>
        <w:tc>
          <w:tcPr>
            <w:tcW w:type="dxa" w:w="468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QC + Credit, modelled and flagged as modelled</w:t>
            </w:r>
          </w:p>
        </w:tc>
      </w:tr>
      <w:tr>
        <w:tc>
          <w:tcPr>
            <w:tcW w:type="dxa" w:w="468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Plus: capacity value (loans absorbed without added headcount)</w:t>
            </w:r>
          </w:p>
        </w:tc>
        <w:tc>
          <w:tcPr>
            <w:tcW w:type="dxa" w:w="468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Finance, only if capacity is actually constrained</w:t>
            </w:r>
          </w:p>
        </w:tc>
      </w:tr>
      <w:tr>
        <w:tc>
          <w:tcPr>
            <w:tcW w:type="dxa" w:w="4680"/>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 Net value per loan</w:t>
            </w:r>
          </w:p>
        </w:tc>
        <w:tc>
          <w:tcPr>
            <w:tcW w:type="dxa" w:w="468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Carried to the G4 business case</w:t>
            </w:r>
          </w:p>
        </w:tc>
      </w:tr>
    </w:tbl>
    <w:p>
      <w:pPr>
        <w:spacing w:after="160"/>
      </w:pPr>
    </w:p>
    <w:p>
      <w:pPr>
        <w:pBdr>
          <w:bottom w:val="single" w:color="C9D6DC" w:sz="6" w:space="6"/>
        </w:pBdr>
        <w:spacing w:after="140" w:before="280"/>
      </w:pPr>
      <w:r>
        <w:rPr>
          <w:rFonts w:ascii="Calibri" w:cs="Calibri" w:eastAsia="Calibri" w:hAnsi="Calibri"/>
          <w:b/>
          <w:bCs/>
          <w:color w:val="1B6B7C"/>
          <w:spacing w:val="20"/>
          <w:sz w:val="20"/>
          <w:szCs w:val="20"/>
        </w:rPr>
        <w:t xml:space="preserve">CADENCE</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059"/>
        <w:gridCol w:w="4492"/>
        <w:gridCol w:w="2809"/>
      </w:tblGrid>
      <w:tr>
        <w:trPr>
          <w:tblHeader/>
        </w:trPr>
        <w:tc>
          <w:tcPr>
            <w:tcW w:type="dxa" w:w="205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When</w:t>
            </w:r>
          </w:p>
        </w:tc>
        <w:tc>
          <w:tcPr>
            <w:tcW w:type="dxa" w:w="449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What happens</w:t>
            </w:r>
          </w:p>
        </w:tc>
        <w:tc>
          <w:tcPr>
            <w:tcW w:type="dxa" w:w="280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Output</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At G0</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Definitions locked and signed by Finance</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Metric dictionary v1</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Weekly</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Metric review — are the numbers being captured, are definitions holding?</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Data quality note</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At G1</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Baseline values populated against these definitions</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Locked baseline</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At G2 and G3</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Comparison against baseline on identical definitions</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Gate evidence</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At G4</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Net value per loan computed and defended to Finance</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Business case</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DEFINITION OF DONE</w:t>
      </w:r>
    </w:p>
    <w:p>
      <w:pPr>
        <w:pStyle w:val="ListParagraph"/>
        <w:numPr>
          <w:ilvl w:val="0"/>
          <w:numId w:val="3"/>
        </w:numPr>
        <w:spacing w:after="80" w:line="276"/>
      </w:pPr>
      <w:r>
        <w:rPr>
          <w:rFonts w:ascii="Calibri" w:cs="Calibri" w:eastAsia="Calibri" w:hAnsi="Calibri"/>
          <w:color w:val="1A1A1A"/>
          <w:sz w:val="21"/>
          <w:szCs w:val="21"/>
        </w:rPr>
        <w:t xml:space="preserve">Every metric has a written definition, a named source, and a named owner</w:t>
      </w:r>
    </w:p>
    <w:p>
      <w:pPr>
        <w:pStyle w:val="ListParagraph"/>
        <w:numPr>
          <w:ilvl w:val="0"/>
          <w:numId w:val="3"/>
        </w:numPr>
        <w:spacing w:after="80" w:line="276"/>
      </w:pPr>
      <w:r>
        <w:rPr>
          <w:rFonts w:ascii="Calibri" w:cs="Calibri" w:eastAsia="Calibri" w:hAnsi="Calibri"/>
          <w:color w:val="1A1A1A"/>
          <w:sz w:val="21"/>
          <w:szCs w:val="21"/>
        </w:rPr>
        <w:t xml:space="preserve">Finance has signed the definitions before baseline capture begins</w:t>
      </w:r>
    </w:p>
    <w:p>
      <w:pPr>
        <w:pStyle w:val="ListParagraph"/>
        <w:numPr>
          <w:ilvl w:val="0"/>
          <w:numId w:val="3"/>
        </w:numPr>
        <w:spacing w:after="80" w:line="276"/>
      </w:pPr>
      <w:r>
        <w:rPr>
          <w:rFonts w:ascii="Calibri" w:cs="Calibri" w:eastAsia="Calibri" w:hAnsi="Calibri"/>
          <w:color w:val="1A1A1A"/>
          <w:sz w:val="21"/>
          <w:szCs w:val="21"/>
        </w:rPr>
        <w:t xml:space="preserve">Review overhead is included as a cost line, not quietly excluded</w:t>
      </w:r>
    </w:p>
    <w:p>
      <w:pPr>
        <w:pStyle w:val="ListParagraph"/>
        <w:numPr>
          <w:ilvl w:val="0"/>
          <w:numId w:val="3"/>
        </w:numPr>
        <w:spacing w:after="80" w:line="276"/>
      </w:pPr>
      <w:r>
        <w:rPr>
          <w:rFonts w:ascii="Calibri" w:cs="Calibri" w:eastAsia="Calibri" w:hAnsi="Calibri"/>
          <w:color w:val="1A1A1A"/>
          <w:sz w:val="21"/>
          <w:szCs w:val="21"/>
        </w:rPr>
        <w:t xml:space="preserve">Guardrails defined with explicit breach conditions</w:t>
      </w:r>
    </w:p>
    <w:p>
      <w:pPr>
        <w:pStyle w:val="ListParagraph"/>
        <w:numPr>
          <w:ilvl w:val="0"/>
          <w:numId w:val="3"/>
        </w:numPr>
        <w:spacing w:after="80" w:line="276"/>
      </w:pPr>
      <w:r>
        <w:rPr>
          <w:rFonts w:ascii="Calibri" w:cs="Calibri" w:eastAsia="Calibri" w:hAnsi="Calibri"/>
          <w:color w:val="1A1A1A"/>
          <w:sz w:val="21"/>
          <w:szCs w:val="21"/>
        </w:rPr>
        <w:t xml:space="preserve">The shadow-mode cycle-time caveat is stated in writing at every gate</w:t>
      </w:r>
    </w:p>
    <w:p>
      <w:pPr>
        <w:pBdr>
          <w:bottom w:val="single" w:color="C9D6DC" w:sz="6" w:space="6"/>
        </w:pBdr>
        <w:spacing w:after="140" w:before="280"/>
      </w:pPr>
      <w:r>
        <w:rPr>
          <w:rFonts w:ascii="Calibri" w:cs="Calibri" w:eastAsia="Calibri" w:hAnsi="Calibri"/>
          <w:b/>
          <w:bCs/>
          <w:color w:val="1B6B7C"/>
          <w:spacing w:val="20"/>
          <w:sz w:val="20"/>
          <w:szCs w:val="20"/>
        </w:rPr>
        <w:t xml:space="preserve">RISKS &amp; ESCALATION</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808"/>
        <w:gridCol w:w="4212"/>
        <w:gridCol w:w="2340"/>
      </w:tblGrid>
      <w:tr>
        <w:trPr>
          <w:tblHeader/>
        </w:trPr>
        <w:tc>
          <w:tcPr>
            <w:tcW w:type="dxa" w:w="2808"/>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Risk</w:t>
            </w:r>
          </w:p>
        </w:tc>
        <w:tc>
          <w:tcPr>
            <w:tcW w:type="dxa" w:w="421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Mitigation</w:t>
            </w:r>
          </w:p>
        </w:tc>
        <w:tc>
          <w:tcPr>
            <w:tcW w:type="dxa" w:w="234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Escalates to</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Definitions drift between baseline and comparison</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Metric dictionary version-controlled and locked at G1; any change invalidates comparison and requires Steering</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Finance</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Elapsed time substituted for touch time because it is easier to pull</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Data source named per metric at G0; analyst attests to source at G1</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Data analyst</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Only headline metrics reported; guardrails quietly dropped</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Guardrails are a mandatory section of every gate pack</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Compliance</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Quality measured only where measurement is easy</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False clear rate is a mandatory metric even though it is the hardest to capture</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QC</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Value claimed gross, ignoring review overhead and license cost</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Finance owns the net calculation and presents it at G4, not the studio</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Finance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C" w:sz="4" w:space="6"/>
      </w:pBdr>
    </w:pPr>
    <w:r>
      <w:rPr>
        <w:rFonts w:ascii="Calibri" w:cs="Calibri" w:eastAsia="Calibri" w:hAnsi="Calibri"/>
        <w:color w:val="5A6B73"/>
        <w:sz w:val="16"/>
        <w:szCs w:val="16"/>
      </w:rPr>
      <w:t xml:space="preserve">JazzX Design Studio — 90-Day Framework  │  Define What Value Looks Like   </w:t>
    </w:r>
    <w:r>
      <w:rPr>
        <w:rFonts w:ascii="Calibri" w:cs="Calibri" w:eastAsia="Calibri" w:hAnsi="Calibri"/>
        <w:color w:val="5A6B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color w:val="1B6B7C"/>
        <w:sz w:val="21"/>
        <w:szCs w:val="21"/>
      </w:rPr>
    </w:lvl>
    <w:lvl w:ilvl="1" w15:tentative="1">
      <w:start w:val="1"/>
      <w:numFmt w:val="bullet"/>
      <w:lvlText w:val="○"/>
      <w:lvlJc w:val="left"/>
      <w:pPr>
        <w:ind w:left="763" w:hanging="259"/>
      </w:pPr>
      <w:rPr>
        <w:color w:val="5A6B73"/>
        <w:sz w:val="21"/>
        <w:szCs w:val="21"/>
      </w:rPr>
    </w:lvl>
    <w:lvl w:ilvl="2" w15:tentative="1">
      <w:start w:val="1"/>
      <w:numFmt w:val="bullet"/>
      <w:lvlText w:val="▪"/>
      <w:lvlJc w:val="left"/>
      <w:pPr>
        <w:ind w:left="1123" w:hanging="259"/>
      </w:pPr>
      <w:rPr>
        <w:color w:val="5A6B73"/>
        <w:sz w:val="21"/>
        <w:szCs w:val="21"/>
      </w:rPr>
    </w:lvl>
  </w:abstractNum>
  <w:abstractNum w:abstractNumId="3" w15:restartNumberingAfterBreak="0">
    <w:multiLevelType w:val="hybridMultilevel"/>
    <w:lvl w:ilvl="0" w15:tentative="1">
      <w:start w:val="1"/>
      <w:numFmt w:val="decimal"/>
      <w:lvlText w:val="%1."/>
      <w:lvlJc w:val="left"/>
      <w:pPr>
        <w:ind w:left="460" w:hanging="316"/>
      </w:pPr>
      <w:rPr>
        <w:b/>
        <w:bCs/>
        <w:color w:val="1B6B7C"/>
        <w:sz w:val="21"/>
        <w:szCs w:val="21"/>
      </w:rPr>
    </w:lvl>
    <w:lvl w:ilvl="1" w15:tentative="1">
      <w:start w:val="1"/>
      <w:numFmt w:val="lowerLetter"/>
      <w:lvlText w:val="%2."/>
      <w:lvlJc w:val="left"/>
      <w:pPr>
        <w:ind w:left="835" w:hanging="316"/>
      </w:pPr>
      <w:rPr>
        <w:color w:val="5A6B73"/>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What Value Looks Like</dc:title>
  <dc:creator>Design Studio Program Office</dc:creator>
  <dc:description>Labor, quality and cycle-time — defined precisely enough to survive a finance review.</dc:description>
  <cp:lastModifiedBy>Un-named</cp:lastModifiedBy>
  <cp:revision>1</cp:revision>
  <dcterms:created xsi:type="dcterms:W3CDTF">2026-08-03T23:55:14.612Z</dcterms:created>
  <dcterms:modified xsi:type="dcterms:W3CDTF">2026-08-03T23:55:14.612Z</dcterms:modified>
</cp:coreProperties>
</file>

<file path=docProps/custom.xml><?xml version="1.0" encoding="utf-8"?>
<Properties xmlns="http://schemas.openxmlformats.org/officeDocument/2006/custom-properties" xmlns:vt="http://schemas.openxmlformats.org/officeDocument/2006/docPropsVTypes"/>
</file>