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3E8FA3"/>
          <w:spacing w:val="30"/>
          <w:sz w:val="17"/>
          <w:szCs w:val="17"/>
        </w:rPr>
        <w:t xml:space="preserve">LOGISTICS — DEFINE PROOF OF VALUE  │  ONE-PAGER 06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E3A4F"/>
          <w:sz w:val="40"/>
          <w:szCs w:val="40"/>
        </w:rPr>
        <w:t xml:space="preserve">Baseline, Targets &amp; Success Thresholds</w:t>
      </w:r>
    </w:p>
    <w:p>
      <w:pPr>
        <w:pBdr>
          <w:bottom w:val="single" w:color="1B6B7C" w:sz="12" w:space="8"/>
        </w:pBdr>
        <w:spacing w:after="200"/>
      </w:pPr>
      <w:r>
        <w:rPr>
          <w:rFonts w:ascii="Calibri" w:cs="Calibri" w:eastAsia="Calibri" w:hAnsi="Calibri"/>
          <w:i/>
          <w:iCs/>
          <w:color w:val="5A6B73"/>
          <w:sz w:val="21"/>
          <w:szCs w:val="21"/>
        </w:rPr>
        <w:t xml:space="preserve">Capturing "before" defensibly, and setting the bar before you can see where the ball landed.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PURPOSE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 produce a baseline that will survive scrutiny from Finance, Risk, and an auditor, and to set the thresholds that define success before results are visible. This is the highest-risk document in the pack: a baseline cannot be reconstructed after Jazz has begun influencing the workflow, and a threshold set after seeing the data is not a threshold.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OWNER &amp; RACI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182"/>
        <w:gridCol w:w="3744"/>
        <w:gridCol w:w="2434"/>
      </w:tblGrid>
      <w:tr>
        <w:trPr>
          <w:tblHeader/>
        </w:trPr>
        <w:tc>
          <w:tcPr>
            <w:tcW w:type="dxa" w:w="318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374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Who (fill in at G0)</w:t>
            </w:r>
          </w:p>
        </w:tc>
        <w:tc>
          <w:tcPr>
            <w:tcW w:type="dxa" w:w="243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 / A / C / I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Finance / FP&amp;A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— attests the baseline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Data / BI analyst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builds and validates the capture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Head of Underwriting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— attests operational representativeness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runs the observation and assembly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QC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quality baseline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Executive Sponsor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— signs the thresholds before G2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DECISIONS THIS DOCUMENT MAKES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baseline is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locked at Gate 1 (Day 30)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and is never revised afterward using post-Jazz data. Errors found later are documented as limitations, not corrected retroactively.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baseline is drawn from the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same loan slice, same team, and same season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as the comparison period, or the mix difference is explicitly adjusted for and disclosed.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Thresholds are set at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three levels — Minimum, Target, Stretch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and are signed by the Sponsor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before Gate 2 evidence exists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Where the sample cannot support a statistical claim, the result is reported as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directional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and labelled as such. The studio does not present underpowered findings as proof.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Paired comparison is used wherever shadow mode allows it, because it is dramatically more efficient than comparing separate groups.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THE FRAMEWORK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Four sources, triangulated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No single source is sufficient. LOS timestamps are complete but measure elapsed time rather than effort; observation measures effort accurately but covers few loans. Use them together and reconcile the difference explicitly.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059"/>
        <w:gridCol w:w="2808"/>
        <w:gridCol w:w="1497"/>
        <w:gridCol w:w="2996"/>
      </w:tblGrid>
      <w:tr>
        <w:trPr>
          <w:tblHeader/>
        </w:trPr>
        <w:tc>
          <w:tcPr>
            <w:tcW w:type="dxa" w:w="205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Gives you</w:t>
            </w:r>
          </w:p>
        </w:tc>
        <w:tc>
          <w:tcPr>
            <w:tcW w:type="dxa" w:w="1497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Sample</w:t>
            </w:r>
          </w:p>
        </w:tc>
        <w:tc>
          <w:tcPr>
            <w:tcW w:type="dxa" w:w="2996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Weakness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LOS event log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Cycle time, touches, queue time, volumes</w:t>
            </w:r>
          </w:p>
        </w:tc>
        <w:tc>
          <w:tcPr>
            <w:tcW w:type="dxa" w:w="149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All loans, 12 months</w:t>
            </w:r>
          </w:p>
        </w:tc>
        <w:tc>
          <w:tcPr>
            <w:tcW w:type="dxa" w:w="299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Elapsed only; event definitions may have changed historically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Structured observation</w:t>
            </w:r>
          </w:p>
        </w:tc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True touch time by task</w:t>
            </w:r>
          </w:p>
        </w:tc>
        <w:tc>
          <w:tcPr>
            <w:tcW w:type="dxa" w:w="149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20–30 loans</w:t>
            </w:r>
          </w:p>
        </w:tc>
        <w:tc>
          <w:tcPr>
            <w:tcW w:type="dxa" w:w="299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Small sample; observer effect inflates care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QC file review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Defect and quality baseline</w:t>
            </w:r>
          </w:p>
        </w:tc>
        <w:tc>
          <w:tcPr>
            <w:tcW w:type="dxa" w:w="149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Standard QC sample</w:t>
            </w:r>
          </w:p>
        </w:tc>
        <w:tc>
          <w:tcPr>
            <w:tcW w:type="dxa" w:w="299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Lags; sampling may not match the studio slice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Participant time diary</w:t>
            </w:r>
          </w:p>
        </w:tc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Task mix and interruption load</w:t>
            </w:r>
          </w:p>
        </w:tc>
        <w:tc>
          <w:tcPr>
            <w:tcW w:type="dxa" w:w="149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2 weeks, all participants</w:t>
            </w:r>
          </w:p>
        </w:tc>
        <w:tc>
          <w:tcPr>
            <w:tcW w:type="dxa" w:w="299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Self-reported; use for structure, not for headline numbers</w:t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Sample size — what 90 days can and cannot prove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Be honest about this at G0 rather than discovering it at G4. For rate-type metrics compared across separate groups, the sample sizes required to detect small differences are far larger than a 90-day studio produces. The table below assumes a 20% baseline rate, 5% significance, 80% power.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Use paired comparison wherever possible.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Because shadow runs Jazz on the same loans the humans work, most quality metrics are paired rather than independent — the same file has both a human and a Jazz result. Paired designs typically need a fraction of the sample, and this single design choice does more for the studio's statistical power than any increase in volume.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Target 150–200 shadow loans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as the working plan for the slice, and confirm against the analyst's recomputed numbers at G0.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Cycle-time cannot be paired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it is measured only in the Phase 3 live period, on a smaller sample, and will almost always be directional rather than conclusive. Plan the narrative for that now.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369"/>
        <w:gridCol w:w="2808"/>
        <w:gridCol w:w="3183"/>
      </w:tblGrid>
      <w:tr>
        <w:trPr>
          <w:tblHeader/>
        </w:trPr>
        <w:tc>
          <w:tcPr>
            <w:tcW w:type="dxa" w:w="336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Difference to detect</w:t>
            </w:r>
          </w:p>
        </w:tc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Loans needed per arm</w:t>
            </w:r>
          </w:p>
        </w:tc>
        <w:tc>
          <w:tcPr>
            <w:tcW w:type="dxa" w:w="3183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Feasible in 90 days?</w:t>
            </w:r>
          </w:p>
        </w:tc>
      </w:tr>
      <w:tr>
        <w:tc>
          <w:tcPr>
            <w:tcW w:type="dxa" w:w="33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20% → 5% (large)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≈ 75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Yes</w:t>
            </w:r>
          </w:p>
        </w:tc>
      </w:tr>
      <w:tr>
        <w:tc>
          <w:tcPr>
            <w:tcW w:type="dxa" w:w="336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20% → 10% (moderate)</w:t>
            </w:r>
          </w:p>
        </w:tc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≈ 200</w:t>
            </w:r>
          </w:p>
        </w:tc>
        <w:tc>
          <w:tcPr>
            <w:tcW w:type="dxa" w:w="318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Only at reasonable volume</w:t>
            </w:r>
          </w:p>
        </w:tc>
      </w:tr>
      <w:tr>
        <w:tc>
          <w:tcPr>
            <w:tcW w:type="dxa" w:w="33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20% → 15% (small)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≈ 900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No — report as directional</w:t>
            </w:r>
          </w:p>
        </w:tc>
      </w:tr>
    </w:tbl>
    <w:p>
      <w:pPr>
        <w:spacing w:after="160" w:before="80"/>
      </w:pPr>
      <w:r>
        <w:rPr>
          <w:rFonts w:ascii="Calibri" w:cs="Calibri" w:eastAsia="Calibri" w:hAnsi="Calibri"/>
          <w:i/>
          <w:iCs/>
          <w:color w:val="5A6B73"/>
          <w:sz w:val="18"/>
          <w:szCs w:val="18"/>
        </w:rPr>
        <w:t xml:space="preserve">Indicative two-proportion sizing. Have the analyst recompute using your actual baseline rates at G0.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Mix and seasonality — the silent baseline killer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baseline taken in one month and a comparison taken two months later differ in more than Jazz. Purchase-refi mix, investor guidelines, staffing levels, volume pressure, and month-end effects all move the metrics. Before locking, the analyst produces a mix comparison and either shows the periods are comparable or states the adjustment applied.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Compare loan purpose, occupancy, channel, borrower income type and document complexity across periods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Prefer a 12-month baseline window over a 1-month window where data allows, to average out seasonality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Flag any guideline, staffing or system change inside the window as a documented limitation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Where mix differs materially, report the metric both raw and mix-adjusted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ARTIFACTS &amp; TEMPLATES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Baseline record — populate and lock at G1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808"/>
        <w:gridCol w:w="1684"/>
        <w:gridCol w:w="936"/>
        <w:gridCol w:w="2059"/>
        <w:gridCol w:w="1873"/>
      </w:tblGrid>
      <w:tr>
        <w:trPr>
          <w:tblHeader/>
        </w:trPr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168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Baseline value</w:t>
            </w:r>
          </w:p>
        </w:tc>
        <w:tc>
          <w:tcPr>
            <w:tcW w:type="dxa" w:w="936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</w:t>
            </w:r>
          </w:p>
        </w:tc>
        <w:tc>
          <w:tcPr>
            <w:tcW w:type="dxa" w:w="205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  <w:tc>
          <w:tcPr>
            <w:tcW w:type="dxa" w:w="1873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Window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Underwriter touch time / loan</w:t>
            </w:r>
          </w:p>
        </w:tc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93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Processor touch time / loan</w:t>
            </w:r>
          </w:p>
        </w:tc>
        <w:tc>
          <w:tcPr>
            <w:tcW w:type="dxa" w:w="168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93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Touches per loan</w:t>
            </w:r>
          </w:p>
        </w:tc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93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Decision turn time</w:t>
            </w:r>
          </w:p>
        </w:tc>
        <w:tc>
          <w:tcPr>
            <w:tcW w:type="dxa" w:w="168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93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Condition turn time</w:t>
            </w:r>
          </w:p>
        </w:tc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93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Application to CTC</w:t>
            </w:r>
          </w:p>
        </w:tc>
        <w:tc>
          <w:tcPr>
            <w:tcW w:type="dxa" w:w="168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93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Document recognition accuracy</w:t>
            </w:r>
          </w:p>
        </w:tc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93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Condition precision / recall</w:t>
            </w:r>
          </w:p>
        </w:tc>
        <w:tc>
          <w:tcPr>
            <w:tcW w:type="dxa" w:w="168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93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False clear rate</w:t>
            </w:r>
          </w:p>
        </w:tc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93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Rework rate</w:t>
            </w:r>
          </w:p>
        </w:tc>
        <w:tc>
          <w:tcPr>
            <w:tcW w:type="dxa" w:w="168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93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Post-close defect rate</w:t>
            </w:r>
          </w:p>
        </w:tc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93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Complaints per 100 loans</w:t>
            </w:r>
          </w:p>
        </w:tc>
        <w:tc>
          <w:tcPr>
            <w:tcW w:type="dxa" w:w="168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93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Threshold structure — signed before G2 evidence exists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1684"/>
        <w:gridCol w:w="4305"/>
        <w:gridCol w:w="3371"/>
      </w:tblGrid>
      <w:tr>
        <w:trPr>
          <w:tblHeader/>
        </w:trPr>
        <w:tc>
          <w:tcPr>
            <w:tcW w:type="dxa" w:w="168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Level</w:t>
            </w:r>
          </w:p>
        </w:tc>
        <w:tc>
          <w:tcPr>
            <w:tcW w:type="dxa" w:w="4305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  <w:tc>
          <w:tcPr>
            <w:tcW w:type="dxa" w:w="3371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Consequence if not met</w:t>
            </w:r>
          </w:p>
        </w:tc>
      </w:tr>
      <w:tr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Minimum</w:t>
            </w:r>
          </w:p>
        </w:tc>
        <w:tc>
          <w:tcPr>
            <w:tcW w:type="dxa" w:w="430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Below this the studio has failed on that metric</w:t>
            </w:r>
          </w:p>
        </w:tc>
        <w:tc>
          <w:tcPr>
            <w:tcW w:type="dxa" w:w="337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Blocks the gate; triggers Extend or Stop</w:t>
            </w:r>
          </w:p>
        </w:tc>
      </w:tr>
      <w:tr>
        <w:tc>
          <w:tcPr>
            <w:tcW w:type="dxa" w:w="168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Target</w:t>
            </w:r>
          </w:p>
        </w:tc>
        <w:tc>
          <w:tcPr>
            <w:tcW w:type="dxa" w:w="4305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The level the business case assumes</w:t>
            </w:r>
          </w:p>
        </w:tc>
        <w:tc>
          <w:tcPr>
            <w:tcW w:type="dxa" w:w="337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Go remains possible but the business case is re-run at the actual number</w:t>
            </w:r>
          </w:p>
        </w:tc>
      </w:tr>
      <w:tr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Stretch</w:t>
            </w:r>
          </w:p>
        </w:tc>
        <w:tc>
          <w:tcPr>
            <w:tcW w:type="dxa" w:w="430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Materially better than the business case</w:t>
            </w:r>
          </w:p>
        </w:tc>
        <w:tc>
          <w:tcPr>
            <w:tcW w:type="dxa" w:w="337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Accelerates scale scope and funding</w:t>
            </w:r>
          </w:p>
        </w:tc>
      </w:tr>
    </w:tbl>
    <w:p>
      <w:pPr>
        <w:spacing w:after="160" w:before="80"/>
      </w:pPr>
      <w:r>
        <w:rPr>
          <w:rFonts w:ascii="Calibri" w:cs="Calibri" w:eastAsia="Calibri" w:hAnsi="Calibri"/>
          <w:i/>
          <w:iCs/>
          <w:color w:val="5A6B73"/>
          <w:sz w:val="18"/>
          <w:szCs w:val="18"/>
        </w:rPr>
        <w:t xml:space="preserve">Set Minimum for every metric. Target and Stretch are only required for the metrics carrying the business case.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Threshold register — fill in at G0, sign before G2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995"/>
        <w:gridCol w:w="1591"/>
        <w:gridCol w:w="1591"/>
        <w:gridCol w:w="1591"/>
        <w:gridCol w:w="1592"/>
      </w:tblGrid>
      <w:tr>
        <w:trPr>
          <w:tblHeader/>
        </w:trPr>
        <w:tc>
          <w:tcPr>
            <w:tcW w:type="dxa" w:w="2995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1591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Baseline</w:t>
            </w:r>
          </w:p>
        </w:tc>
        <w:tc>
          <w:tcPr>
            <w:tcW w:type="dxa" w:w="1591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Minimum</w:t>
            </w:r>
          </w:p>
        </w:tc>
        <w:tc>
          <w:tcPr>
            <w:tcW w:type="dxa" w:w="1591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tcW w:type="dxa" w:w="159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Stretch</w:t>
            </w:r>
          </w:p>
        </w:tc>
      </w:tr>
      <w:tr>
        <w:tc>
          <w:tcPr>
            <w:tcW w:type="dxa" w:w="299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Underwriter touch time / loan</w:t>
            </w:r>
          </w:p>
        </w:tc>
        <w:tc>
          <w:tcPr>
            <w:tcW w:type="dxa" w:w="15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995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Decision turn time</w:t>
            </w:r>
          </w:p>
        </w:tc>
        <w:tc>
          <w:tcPr>
            <w:tcW w:type="dxa" w:w="159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99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Document recognition accuracy</w:t>
            </w:r>
          </w:p>
        </w:tc>
        <w:tc>
          <w:tcPr>
            <w:tcW w:type="dxa" w:w="15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995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Condition recall</w:t>
            </w:r>
          </w:p>
        </w:tc>
        <w:tc>
          <w:tcPr>
            <w:tcW w:type="dxa" w:w="159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99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False clear rate</w:t>
            </w:r>
          </w:p>
        </w:tc>
        <w:tc>
          <w:tcPr>
            <w:tcW w:type="dxa" w:w="15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No worse than baseline</w:t>
            </w:r>
          </w:p>
        </w:tc>
        <w:tc>
          <w:tcPr>
            <w:tcW w:type="dxa" w:w="15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995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Net cost per loan</w:t>
            </w:r>
          </w:p>
        </w:tc>
        <w:tc>
          <w:tcPr>
            <w:tcW w:type="dxa" w:w="159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</w:tbl>
    <w:p>
      <w:pPr>
        <w:spacing w:after="160" w:before="80"/>
      </w:pPr>
      <w:r>
        <w:rPr>
          <w:rFonts w:ascii="Calibri" w:cs="Calibri" w:eastAsia="Calibri" w:hAnsi="Calibri"/>
          <w:i/>
          <w:iCs/>
          <w:color w:val="5A6B73"/>
          <w:sz w:val="18"/>
          <w:szCs w:val="18"/>
        </w:rPr>
        <w:t xml:space="preserve">False clear rate is a guardrail: its Minimum is "no worse than baseline", never an improvement target traded against speed.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CADENCE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059"/>
        <w:gridCol w:w="4492"/>
        <w:gridCol w:w="2809"/>
      </w:tblGrid>
      <w:tr>
        <w:trPr>
          <w:tblHeader/>
        </w:trPr>
        <w:tc>
          <w:tcPr>
            <w:tcW w:type="dxa" w:w="205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449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happens</w:t>
            </w:r>
          </w:p>
        </w:tc>
        <w:tc>
          <w:tcPr>
            <w:tcW w:type="dxa" w:w="280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Days 1–10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Instrumentation built; historical extract validated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Data quality report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Days 5–25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Structured observation across participants and loan types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Observation dataset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Day 25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Baseline assembled; mix comparison produced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Draft baseline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Day 28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Review with Finance, UW and QC; challenge session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Issues resolved or documented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Day 30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Baseline attested and locked at G1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Signed baseline record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Before G2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Thresholds signed by the Sponsor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Signed threshold register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DEFINITION OF DONE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Baseline locked, dated, and attested by Finance and Head of Underwriting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Sample size and detectable difference stated per metric, not assumed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Mix comparison produced and any adjustment disclosed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Known limitations written down at lock time rather than discovered at G4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Thresholds signed before Gate 2 evidence is visible, with the signature dated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RISKS &amp; ESCALATION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808"/>
        <w:gridCol w:w="4212"/>
        <w:gridCol w:w="2340"/>
      </w:tblGrid>
      <w:tr>
        <w:trPr>
          <w:tblHeader/>
        </w:trPr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421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  <w:tc>
          <w:tcPr>
            <w:tcW w:type="dxa" w:w="234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Escalates to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Baseline never locks because the data is imperfect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Time-boxed to Phase 1; lock with a documented-limitations clause rather than pursuing perfection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Executive Sponsor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Thresholds set after seeing results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Signature is dated and held by Finance; unsigned thresholds block G2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Finance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Historical LOS events defined differently than today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Analyst validates event definitions across the window before use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Data analyst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Observer effect inflates baseline care and therefore baseline quality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Observe across several days; triangulate against LOS and QC rather than relying on observation alone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Underpowered result presented as proof at G4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Every metric reported with n and a conclusive/directional label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Finance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Sample too small because studio volume was optimistic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Volume tracked weekly from Day 15; shortfall triggers a scope conversation at Day 45, not Day 85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C" w:sz="4" w:space="6"/>
      </w:pBdr>
    </w:pPr>
    <w:r>
      <w:rPr>
        <w:rFonts w:ascii="Calibri" w:cs="Calibri" w:eastAsia="Calibri" w:hAnsi="Calibri"/>
        <w:color w:val="5A6B73"/>
        <w:sz w:val="16"/>
        <w:szCs w:val="16"/>
      </w:rPr>
      <w:t xml:space="preserve">JazzX Design Studio — 90-Day Framework  │  Baseline, Targets &amp; Success Thresholds   </w:t>
    </w:r>
    <w:r>
      <w:rPr>
        <w:rFonts w:ascii="Calibri" w:cs="Calibri" w:eastAsia="Calibri" w:hAnsi="Calibri"/>
        <w:color w:val="5A6B73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03" w:hanging="259"/>
      </w:pPr>
      <w:rPr>
        <w:color w:val="1B6B7C"/>
        <w:sz w:val="21"/>
        <w:szCs w:val="21"/>
      </w:rPr>
    </w:lvl>
    <w:lvl w:ilvl="1" w15:tentative="1">
      <w:start w:val="1"/>
      <w:numFmt w:val="bullet"/>
      <w:lvlText w:val="○"/>
      <w:lvlJc w:val="left"/>
      <w:pPr>
        <w:ind w:left="763" w:hanging="259"/>
      </w:pPr>
      <w:rPr>
        <w:color w:val="5A6B73"/>
        <w:sz w:val="21"/>
        <w:szCs w:val="21"/>
      </w:rPr>
    </w:lvl>
    <w:lvl w:ilvl="2" w15:tentative="1">
      <w:start w:val="1"/>
      <w:numFmt w:val="bullet"/>
      <w:lvlText w:val="▪"/>
      <w:lvlJc w:val="left"/>
      <w:pPr>
        <w:ind w:left="1123" w:hanging="259"/>
      </w:pPr>
      <w:rPr>
        <w:color w:val="5A6B73"/>
        <w:sz w:val="21"/>
        <w:szCs w:val="2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  <w:rPr>
        <w:b/>
        <w:bCs/>
        <w:color w:val="1B6B7C"/>
        <w:sz w:val="21"/>
        <w:szCs w:val="21"/>
      </w:rPr>
    </w:lvl>
    <w:lvl w:ilvl="1" w15:tentative="1">
      <w:start w:val="1"/>
      <w:numFmt w:val="lowerLetter"/>
      <w:lvlText w:val="%2."/>
      <w:lvlJc w:val="left"/>
      <w:pPr>
        <w:ind w:left="835" w:hanging="316"/>
      </w:pPr>
      <w:rPr>
        <w:color w:val="5A6B73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Baseline, Targets &amp; Success Thresholds</dc:title>
  <dc:creator>Design Studio Program Office</dc:creator>
  <dc:description>Capturing "before" defensibly, and setting the bar before you can see where the ball landed.</dc:description>
  <cp:lastModifiedBy>Un-named</cp:lastModifiedBy>
  <cp:revision>1</cp:revision>
  <dcterms:created xsi:type="dcterms:W3CDTF">2026-08-03T23:55:14.656Z</dcterms:created>
  <dcterms:modified xsi:type="dcterms:W3CDTF">2026-08-03T23:55:14.656Z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