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EXECUTION — LAUNCH DESIGN STUDIO  │  ONE-PAGER 08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Launch Design Studio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Standing up a small, protected team that runs real loans through a parallel path.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define what the Design Studio actually is as an operating unit: who is in it, what work flows through it, how that work differs from the standard workflow, and how it learns each week. This is the umbrella for one-pagers 09 through 13, each of which details one component. Read this first; the others are the operating detail.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Design Studio Lead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owns the studio as an operating unit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Head of Underwriting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releases the people, owns process truth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Head of Operations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workflow and capacity impact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JazzX Engagement Lead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vendor-side delivery and enablement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Sponsor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protects the studio from BAU reabsorption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studio is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small, named, protected team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not a committee and not a side-of-desk assignment. Six to eight people with real capacity relief beats twenty with none.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studio runs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parallel path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real loans, real files, real conditions, with the standard workflow remaining the system of record throughout the shadow phase.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studio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co-located or reliably co-present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 at least the first two weeks. Observation and rapid learning do not survive a fully asynchronous start.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studio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owns its own backlog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Tuning priorities are set inside the weekly loop by the people doing the work, not by a steering committee reading a report.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studio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time-boxed to 90 days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either converts to a permanent capability at G4 or dissolves. It does not quietly persist.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The five components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1497"/>
        <w:gridCol w:w="5055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9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 in</w:t>
            </w:r>
          </w:p>
        </w:tc>
        <w:tc>
          <w:tcPr>
            <w:tcW w:type="dxa" w:w="5055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one thing that matters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Small cross-functional team</w:t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One-pager 09</w:t>
            </w:r>
          </w:p>
        </w:tc>
        <w:tc>
          <w:tcPr>
            <w:tcW w:type="dxa" w:w="505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Named seats with funded capacity relief — not volunteers on top of a full pipeline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Loan types and market</w:t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One-pager 10</w:t>
            </w:r>
          </w:p>
        </w:tc>
        <w:tc>
          <w:tcPr>
            <w:tcW w:type="dxa" w:w="505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Narrow enough to reach sample size, representative enough that the result generalises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Process design vs. current workflow</w:t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One-pager 11</w:t>
            </w:r>
          </w:p>
        </w:tc>
        <w:tc>
          <w:tcPr>
            <w:tcW w:type="dxa" w:w="505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 unambiguous rule for when a loan leaves the studio and returns to the standard path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 feedback loop</w:t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One-pager 12</w:t>
            </w:r>
          </w:p>
        </w:tc>
        <w:tc>
          <w:tcPr>
            <w:tcW w:type="dxa" w:w="505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Every cycle ends with a decision and a visible change, or participants stop contributing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Observing real activity</w:t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One-pager 13</w:t>
            </w:r>
          </w:p>
        </w:tc>
        <w:tc>
          <w:tcPr>
            <w:tcW w:type="dxa" w:w="505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Watch what people do, not what the process document says they do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What a studio loan actually looks like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loan matching the slice definition enters the pipeline and is tagged for the studio cohort.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file is worked normally by the studio underwriter or processor — the standard workflow is unchanged and remains the system of record.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parallel, the file is processed by Jazz: documents recognised, data extracted, conditions proposed.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studio participant reviews the Jazz output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after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forming their own view, so the comparison is not anchored by seeing the answer first.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Differences are recorded in the comparison log: what Jazz caught that the human did not, what the human caught that Jazz did not, and what Jazz got wrong.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human decision stands. Jazz output never reaches the borrower or the file during the shadow phase.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Differences feed the weekly loop, become tuning items, and are tracked to resolution in the improvement log.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Sequencing that matters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Two ordering decisions do more for evidence quality than anything else in the studio, and both are easy to get wrong under time pressure.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Human first, then Jazz.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If the participant sees the Jazz output before forming a view, anchoring destroys the comparison and the recall measurement becomes meaningless. Enforce it in the workflow, not by asking nicely.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Observe before you tune.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Weeks 1–2 are for watching the current process, not for improving Jazz. Tuning against a misunderstood process bakes in the misunderstanding and is expensive to unwind at Week 8.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Studio setup checklist — complete before G0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5803"/>
        <w:gridCol w:w="2246"/>
        <w:gridCol w:w="1311"/>
      </w:tblGrid>
      <w:tr>
        <w:trPr>
          <w:tblHeader/>
        </w:trPr>
        <w:tc>
          <w:tcPr>
            <w:tcW w:type="dxa" w:w="580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4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311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58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Team named, released, and capacity relief funded</w:t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Head of UW</w:t>
            </w:r>
          </w:p>
        </w:tc>
        <w:tc>
          <w:tcPr>
            <w:tcW w:type="dxa" w:w="131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80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Loan slice defined with a written inclusion rule</w:t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131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8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Cohort tagging working in the LOS</w:t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</w:t>
            </w:r>
          </w:p>
        </w:tc>
        <w:tc>
          <w:tcPr>
            <w:tcW w:type="dxa" w:w="131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80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 environment provisioned and accessible</w:t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JazzX</w:t>
            </w:r>
          </w:p>
        </w:tc>
        <w:tc>
          <w:tcPr>
            <w:tcW w:type="dxa" w:w="131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8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LOS data extraction validated end to end</w:t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+ JazzX</w:t>
            </w:r>
          </w:p>
        </w:tc>
        <w:tc>
          <w:tcPr>
            <w:tcW w:type="dxa" w:w="131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80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Comparison log built and tested with a real file</w:t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131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8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Baseline instrumentation live</w:t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analyst</w:t>
            </w:r>
          </w:p>
        </w:tc>
        <w:tc>
          <w:tcPr>
            <w:tcW w:type="dxa" w:w="131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80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space and weekly meeting slot secured</w:t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131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8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Security review signed off</w:t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</w:t>
            </w:r>
          </w:p>
        </w:tc>
        <w:tc>
          <w:tcPr>
            <w:tcW w:type="dxa" w:w="131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80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Kickoff communication delivered</w:t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Sponsor</w:t>
            </w:r>
          </w:p>
        </w:tc>
        <w:tc>
          <w:tcPr>
            <w:tcW w:type="dxa" w:w="131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Volume plan — track weekly from Day 15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246"/>
        <w:gridCol w:w="2433"/>
        <w:gridCol w:w="1872"/>
        <w:gridCol w:w="2809"/>
      </w:tblGrid>
      <w:tr>
        <w:trPr>
          <w:tblHeader/>
        </w:trPr>
        <w:tc>
          <w:tcPr>
            <w:tcW w:type="dxa" w:w="224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3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studio loans / week</w:t>
            </w:r>
          </w:p>
        </w:tc>
        <w:tc>
          <w:tcPr>
            <w:tcW w:type="dxa" w:w="187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Weeks 3–4</w:t>
            </w:r>
          </w:p>
        </w:tc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5–10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10–20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Prove the mechanics work</w:t>
            </w:r>
          </w:p>
        </w:tc>
      </w:tr>
      <w:tr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Weeks 5–8</w:t>
            </w:r>
          </w:p>
        </w:tc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20–30</w:t>
            </w:r>
          </w:p>
        </w:tc>
        <w:tc>
          <w:tcPr>
            <w:tcW w:type="dxa" w:w="187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90–140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Build the quality sample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Weeks 9–12</w:t>
            </w:r>
          </w:p>
        </w:tc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15–25 (live slice)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150–240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Live evidence and cycle-time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A shortfall against cumulative target at Day 45 triggers a scope conversation — not a silent hope that volume recovers.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Daily (Weeks 1–4)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15-minute standing debrief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Observation log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Weekly, Thu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Feedback loop — see one-pager 12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Tuning backlog, decisions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Volume and completion-rate check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Trajectory against sample target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Biweekly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Steering update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Gate trajectory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gates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evidence contributed to the gate pack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Gate evidence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Studio operating with named people and delivered capacity relief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Comparison log complete for at least 95% of studio loans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Human-first sequencing enforced in the workflow, not merely requested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Cumulative loan volume on track to the sample target agreed at G0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Weekly loop has produced a visible change every week it has run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reabsorbed into BAU during a volume spike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Sponsor protection; named backfill; release re-confirmed at every gate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Sponsor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Participants see Jazz output first and anchor on it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Sequencing enforced in the workflow; spot-checked weekly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Volume too low to reach a usable sample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Weekly tracking from Day 15; scope conversation triggered at Day 45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Tuning starts before the current process is understood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Weeks 1–2 ring-fenced for observation; no tuning items accepted before Day 15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persists past Day 90 without a decision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Time-box is in the charter; G4 converts or dissolves it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Steering Committee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Launch Design Studio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Design Studio</dc:title>
  <dc:creator>Design Studio Program Office</dc:creator>
  <dc:description>Standing up a small, protected team that runs real loans through a parallel path.</dc:description>
  <cp:lastModifiedBy>Un-named</cp:lastModifiedBy>
  <cp:revision>1</cp:revision>
  <dcterms:created xsi:type="dcterms:W3CDTF">2026-08-03T23:55:14.725Z</dcterms:created>
  <dcterms:modified xsi:type="dcterms:W3CDTF">2026-08-03T23:55:14.725Z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