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EXECUTION — LAUNCH DESIGN STUDIO  │  ONE-PAGER 13</w:t>
      </w:r>
    </w:p>
    <w:p>
      <w:pPr>
        <w:spacing w:after="60"/>
      </w:pPr>
      <w:r>
        <w:rPr>
          <w:rFonts w:ascii="Calibri" w:cs="Calibri" w:eastAsia="Calibri" w:hAnsi="Calibri"/>
          <w:b/>
          <w:bCs/>
          <w:color w:val="0E3A4F"/>
          <w:sz w:val="40"/>
          <w:szCs w:val="40"/>
        </w:rPr>
        <w:t xml:space="preserve">Observing Real Underwriting &amp; Fulfillment</w:t>
      </w:r>
    </w:p>
    <w:p>
      <w:pPr>
        <w:pBdr>
          <w:bottom w:val="single" w:color="1B6B7C" w:sz="12" w:space="8"/>
        </w:pBdr>
        <w:spacing w:after="200"/>
      </w:pPr>
      <w:r>
        <w:rPr>
          <w:rFonts w:ascii="Calibri" w:cs="Calibri" w:eastAsia="Calibri" w:hAnsi="Calibri"/>
          <w:i/>
          <w:iCs/>
          <w:color w:val="5A6B73"/>
          <w:sz w:val="21"/>
          <w:szCs w:val="21"/>
        </w:rPr>
        <w:t xml:space="preserve">Watch what people actually do, not what the process document says they do.</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capture how underwriting and fulfillment genuinely work today, in enough structured detail to build a defensible labor baseline and to know where automation could plausibly help. Every organisation has a documented process and a real process, and the gap between them is usually where both the cost and the opportunity live. This is also the only chance to see the current state uncontaminated by Jazz.</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the observation program</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designs the capture, analyses the output</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participants</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the observed, and also observers of each other</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validates the findings are representative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Observation runs in </w:t>
      </w:r>
      <w:r>
        <w:rPr>
          <w:rFonts w:ascii="Calibri" w:cs="Calibri" w:eastAsia="Calibri" w:hAnsi="Calibri"/>
          <w:b/>
          <w:bCs/>
          <w:color w:val="1A1A1A"/>
          <w:sz w:val="21"/>
          <w:szCs w:val="21"/>
        </w:rPr>
        <w:t xml:space="preserve">Weeks 1–3 and is ring-fenced.</w:t>
      </w:r>
      <w:r>
        <w:rPr>
          <w:rFonts w:ascii="Calibri" w:cs="Calibri" w:eastAsia="Calibri" w:hAnsi="Calibri"/>
          <w:color w:val="1A1A1A"/>
          <w:sz w:val="21"/>
          <w:szCs w:val="21"/>
        </w:rPr>
        <w:t xml:space="preserve"> No tuning work is accepted before Day 15, because tuning against a misunderstood process is expensive to unwind.</w:t>
      </w:r>
    </w:p>
    <w:p>
      <w:pPr>
        <w:pStyle w:val="ListParagraph"/>
        <w:numPr>
          <w:ilvl w:val="0"/>
          <w:numId w:val="2"/>
        </w:numPr>
        <w:spacing w:after="80" w:line="276"/>
      </w:pPr>
      <w:r>
        <w:rPr>
          <w:rFonts w:ascii="Calibri" w:cs="Calibri" w:eastAsia="Calibri" w:hAnsi="Calibri"/>
          <w:color w:val="1A1A1A"/>
          <w:sz w:val="21"/>
          <w:szCs w:val="21"/>
        </w:rPr>
        <w:t xml:space="preserve">Observation is </w:t>
      </w:r>
      <w:r>
        <w:rPr>
          <w:rFonts w:ascii="Calibri" w:cs="Calibri" w:eastAsia="Calibri" w:hAnsi="Calibri"/>
          <w:b/>
          <w:bCs/>
          <w:color w:val="1A1A1A"/>
          <w:sz w:val="21"/>
          <w:szCs w:val="21"/>
        </w:rPr>
        <w:t xml:space="preserve">structured</w:t>
      </w:r>
      <w:r>
        <w:rPr>
          <w:rFonts w:ascii="Calibri" w:cs="Calibri" w:eastAsia="Calibri" w:hAnsi="Calibri"/>
          <w:color w:val="1A1A1A"/>
          <w:sz w:val="21"/>
          <w:szCs w:val="21"/>
        </w:rPr>
        <w:t xml:space="preserve"> — a defined task taxonomy and timing method — not informal shadowing that produces anecdotes.</w:t>
      </w:r>
    </w:p>
    <w:p>
      <w:pPr>
        <w:pStyle w:val="ListParagraph"/>
        <w:numPr>
          <w:ilvl w:val="0"/>
          <w:numId w:val="2"/>
        </w:numPr>
        <w:spacing w:after="80" w:line="276"/>
      </w:pPr>
      <w:r>
        <w:rPr>
          <w:rFonts w:ascii="Calibri" w:cs="Calibri" w:eastAsia="Calibri" w:hAnsi="Calibri"/>
          <w:color w:val="1A1A1A"/>
          <w:sz w:val="21"/>
          <w:szCs w:val="21"/>
        </w:rPr>
        <w:t xml:space="preserve">Observe a </w:t>
      </w:r>
      <w:r>
        <w:rPr>
          <w:rFonts w:ascii="Calibri" w:cs="Calibri" w:eastAsia="Calibri" w:hAnsi="Calibri"/>
          <w:b/>
          <w:bCs/>
          <w:color w:val="1A1A1A"/>
          <w:sz w:val="21"/>
          <w:szCs w:val="21"/>
        </w:rPr>
        <w:t xml:space="preserve">minimum of 20–30 complete loans</w:t>
      </w:r>
      <w:r>
        <w:rPr>
          <w:rFonts w:ascii="Calibri" w:cs="Calibri" w:eastAsia="Calibri" w:hAnsi="Calibri"/>
          <w:color w:val="1A1A1A"/>
          <w:sz w:val="21"/>
          <w:szCs w:val="21"/>
        </w:rPr>
        <w:t xml:space="preserve"> across all participants, loan complexities, and both underwriting and fulfillment.</w:t>
      </w:r>
    </w:p>
    <w:p>
      <w:pPr>
        <w:pStyle w:val="ListParagraph"/>
        <w:numPr>
          <w:ilvl w:val="0"/>
          <w:numId w:val="2"/>
        </w:numPr>
        <w:spacing w:after="80" w:line="276"/>
      </w:pPr>
      <w:r>
        <w:rPr>
          <w:rFonts w:ascii="Calibri" w:cs="Calibri" w:eastAsia="Calibri" w:hAnsi="Calibri"/>
          <w:color w:val="1A1A1A"/>
          <w:sz w:val="21"/>
          <w:szCs w:val="21"/>
        </w:rPr>
        <w:t xml:space="preserve">Capture </w:t>
      </w:r>
      <w:r>
        <w:rPr>
          <w:rFonts w:ascii="Calibri" w:cs="Calibri" w:eastAsia="Calibri" w:hAnsi="Calibri"/>
          <w:b/>
          <w:bCs/>
          <w:color w:val="1A1A1A"/>
          <w:sz w:val="21"/>
          <w:szCs w:val="21"/>
        </w:rPr>
        <w:t xml:space="preserve">interruptions and waiting explicitly</w:t>
      </w:r>
      <w:r>
        <w:rPr>
          <w:rFonts w:ascii="Calibri" w:cs="Calibri" w:eastAsia="Calibri" w:hAnsi="Calibri"/>
          <w:color w:val="1A1A1A"/>
          <w:sz w:val="21"/>
          <w:szCs w:val="21"/>
        </w:rPr>
        <w:t xml:space="preserve">. They are usually the largest single component of elapsed time and the one most often omitted.</w:t>
      </w:r>
    </w:p>
    <w:p>
      <w:pPr>
        <w:pStyle w:val="ListParagraph"/>
        <w:numPr>
          <w:ilvl w:val="0"/>
          <w:numId w:val="2"/>
        </w:numPr>
        <w:spacing w:after="80" w:line="276"/>
      </w:pPr>
      <w:r>
        <w:rPr>
          <w:rFonts w:ascii="Calibri" w:cs="Calibri" w:eastAsia="Calibri" w:hAnsi="Calibri"/>
          <w:color w:val="1A1A1A"/>
          <w:sz w:val="21"/>
          <w:szCs w:val="21"/>
        </w:rPr>
        <w:t xml:space="preserve">Observation output is </w:t>
      </w:r>
      <w:r>
        <w:rPr>
          <w:rFonts w:ascii="Calibri" w:cs="Calibri" w:eastAsia="Calibri" w:hAnsi="Calibri"/>
          <w:b/>
          <w:bCs/>
          <w:color w:val="1A1A1A"/>
          <w:sz w:val="21"/>
          <w:szCs w:val="21"/>
        </w:rPr>
        <w:t xml:space="preserve">shared openly with the observed</w:t>
      </w:r>
      <w:r>
        <w:rPr>
          <w:rFonts w:ascii="Calibri" w:cs="Calibri" w:eastAsia="Calibri" w:hAnsi="Calibri"/>
          <w:color w:val="1A1A1A"/>
          <w:sz w:val="21"/>
          <w:szCs w:val="21"/>
        </w:rPr>
        <w:t xml:space="preserve">, including anything unflattering. Covert observation ends candour permanently.</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Task taxonomy — time is coded against these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433"/>
        <w:gridCol w:w="4680"/>
        <w:gridCol w:w="2247"/>
      </w:tblGrid>
      <w:tr>
        <w:trPr>
          <w:tblHeader/>
        </w:trPr>
        <w:tc>
          <w:tcPr>
            <w:tcW w:type="dxa" w:w="243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Category</w:t>
            </w:r>
          </w:p>
        </w:tc>
        <w:tc>
          <w:tcPr>
            <w:tcW w:type="dxa" w:w="468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Includes</w:t>
            </w:r>
          </w:p>
        </w:tc>
        <w:tc>
          <w:tcPr>
            <w:tcW w:type="dxa" w:w="224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Jazz-addressable?</w:t>
            </w:r>
          </w:p>
        </w:tc>
      </w:tr>
      <w:tr>
        <w:tc>
          <w:tcPr>
            <w:tcW w:type="dxa" w:w="2433"/>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Document handling</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Locating, opening, classifying, indexing, checking legibility</w:t>
            </w:r>
          </w:p>
        </w:tc>
        <w:tc>
          <w:tcPr>
            <w:tcW w:type="dxa" w:w="224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w:t>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Data extraction and entry</w:t>
            </w:r>
          </w:p>
        </w:tc>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Reading values from documents into the LOS</w:t>
            </w:r>
          </w:p>
        </w:tc>
        <w:tc>
          <w:tcPr>
            <w:tcW w:type="dxa" w:w="224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w:t>
            </w:r>
          </w:p>
        </w:tc>
      </w:tr>
      <w:tr>
        <w:tc>
          <w:tcPr>
            <w:tcW w:type="dxa" w:w="2433"/>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Verification and cross-check</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Confirming values agree across documents and systems</w:t>
            </w:r>
          </w:p>
        </w:tc>
        <w:tc>
          <w:tcPr>
            <w:tcW w:type="dxa" w:w="224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w:t>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Analysis and judgement</w:t>
            </w:r>
          </w:p>
        </w:tc>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Income calculation, asset assessment, risk assessment</w:t>
            </w:r>
          </w:p>
        </w:tc>
        <w:tc>
          <w:tcPr>
            <w:tcW w:type="dxa" w:w="224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Partial</w:t>
            </w:r>
          </w:p>
        </w:tc>
      </w:tr>
      <w:tr>
        <w:tc>
          <w:tcPr>
            <w:tcW w:type="dxa" w:w="2433"/>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Condition authoring</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Deciding and writing conditions</w:t>
            </w:r>
          </w:p>
        </w:tc>
        <w:tc>
          <w:tcPr>
            <w:tcW w:type="dxa" w:w="224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Partial</w:t>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Condition clearing</w:t>
            </w:r>
          </w:p>
        </w:tc>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Reviewing received documents against open conditions</w:t>
            </w:r>
          </w:p>
        </w:tc>
        <w:tc>
          <w:tcPr>
            <w:tcW w:type="dxa" w:w="224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w:t>
            </w:r>
          </w:p>
        </w:tc>
      </w:tr>
      <w:tr>
        <w:tc>
          <w:tcPr>
            <w:tcW w:type="dxa" w:w="2433"/>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Communication</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Emails and calls with LOs, borrowers, vendors</w:t>
            </w:r>
          </w:p>
        </w:tc>
        <w:tc>
          <w:tcPr>
            <w:tcW w:type="dxa" w:w="224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Low</w:t>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System navigation</w:t>
            </w:r>
          </w:p>
        </w:tc>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Moving between LOS, imaging, vendor portals, spreadsheets</w:t>
            </w:r>
          </w:p>
        </w:tc>
        <w:tc>
          <w:tcPr>
            <w:tcW w:type="dxa" w:w="224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Indirect</w:t>
            </w:r>
          </w:p>
        </w:tc>
      </w:tr>
      <w:tr>
        <w:tc>
          <w:tcPr>
            <w:tcW w:type="dxa" w:w="2433"/>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Waiting</w:t>
            </w:r>
          </w:p>
        </w:tc>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Blocked on a document, a person, or a system</w:t>
            </w:r>
          </w:p>
        </w:tc>
        <w:tc>
          <w:tcPr>
            <w:tcW w:type="dxa" w:w="224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Low — but measure it</w:t>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Rework</w:t>
            </w:r>
          </w:p>
        </w:tc>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Redoing work after new information or an error</w:t>
            </w:r>
          </w:p>
        </w:tc>
        <w:tc>
          <w:tcPr>
            <w:tcW w:type="dxa" w:w="224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Partial</w:t>
            </w:r>
          </w:p>
        </w:tc>
      </w:tr>
    </w:tbl>
    <w:p>
      <w:pPr>
        <w:spacing w:after="160" w:before="80"/>
      </w:pPr>
      <w:r>
        <w:rPr>
          <w:rFonts w:ascii="Calibri" w:cs="Calibri" w:eastAsia="Calibri" w:hAnsi="Calibri"/>
          <w:i/>
          <w:iCs/>
          <w:color w:val="5A6B73"/>
          <w:sz w:val="18"/>
          <w:szCs w:val="18"/>
        </w:rPr>
        <w:t xml:space="preserve">Coding time this way is what lets the studio distinguish "we saved time" from "we saved time on the part Jazz actually touches".</w:t>
      </w:r>
    </w:p>
    <w:p>
      <w:pPr>
        <w:spacing w:after="80" w:before="200"/>
      </w:pPr>
      <w:r>
        <w:rPr>
          <w:rFonts w:ascii="Calibri" w:cs="Calibri" w:eastAsia="Calibri" w:hAnsi="Calibri"/>
          <w:b/>
          <w:bCs/>
          <w:color w:val="0E3A4F"/>
          <w:sz w:val="22"/>
          <w:szCs w:val="22"/>
        </w:rPr>
        <w:t xml:space="preserve">Method</w:t>
      </w:r>
    </w:p>
    <w:p>
      <w:pPr>
        <w:pStyle w:val="ListParagraph"/>
        <w:numPr>
          <w:ilvl w:val="0"/>
          <w:numId w:val="2"/>
        </w:numPr>
        <w:spacing w:after="80" w:line="276"/>
      </w:pPr>
      <w:r>
        <w:rPr>
          <w:rFonts w:ascii="Calibri" w:cs="Calibri" w:eastAsia="Calibri" w:hAnsi="Calibri"/>
          <w:color w:val="1A1A1A"/>
          <w:sz w:val="21"/>
          <w:szCs w:val="21"/>
        </w:rPr>
        <w:t xml:space="preserve">Brief participants openly: what is being captured, why, and that it measures the process rather than the person.</w:t>
      </w:r>
    </w:p>
    <w:p>
      <w:pPr>
        <w:pStyle w:val="ListParagraph"/>
        <w:numPr>
          <w:ilvl w:val="0"/>
          <w:numId w:val="2"/>
        </w:numPr>
        <w:spacing w:after="80" w:line="276"/>
      </w:pPr>
      <w:r>
        <w:rPr>
          <w:rFonts w:ascii="Calibri" w:cs="Calibri" w:eastAsia="Calibri" w:hAnsi="Calibri"/>
          <w:color w:val="1A1A1A"/>
          <w:sz w:val="21"/>
          <w:szCs w:val="21"/>
        </w:rPr>
        <w:t xml:space="preserve">Observe complete loans end to end where possible; partial observation systematically under-counts handoffs and rework.</w:t>
      </w:r>
    </w:p>
    <w:p>
      <w:pPr>
        <w:pStyle w:val="ListParagraph"/>
        <w:numPr>
          <w:ilvl w:val="0"/>
          <w:numId w:val="2"/>
        </w:numPr>
        <w:spacing w:after="80" w:line="276"/>
      </w:pPr>
      <w:r>
        <w:rPr>
          <w:rFonts w:ascii="Calibri" w:cs="Calibri" w:eastAsia="Calibri" w:hAnsi="Calibri"/>
          <w:color w:val="1A1A1A"/>
          <w:sz w:val="21"/>
          <w:szCs w:val="21"/>
        </w:rPr>
        <w:t xml:space="preserve">Time-code activity against the taxonomy at one-minute granularity, recording interruptions as they occur.</w:t>
      </w:r>
    </w:p>
    <w:p>
      <w:pPr>
        <w:pStyle w:val="ListParagraph"/>
        <w:numPr>
          <w:ilvl w:val="0"/>
          <w:numId w:val="2"/>
        </w:numPr>
        <w:spacing w:after="80" w:line="276"/>
      </w:pPr>
      <w:r>
        <w:rPr>
          <w:rFonts w:ascii="Calibri" w:cs="Calibri" w:eastAsia="Calibri" w:hAnsi="Calibri"/>
          <w:color w:val="1A1A1A"/>
          <w:sz w:val="21"/>
          <w:szCs w:val="21"/>
        </w:rPr>
        <w:t xml:space="preserve">Capture the moments of friction verbatim — "this is the third time I have opened this document" is worth more than an average.</w:t>
      </w:r>
    </w:p>
    <w:p>
      <w:pPr>
        <w:pStyle w:val="ListParagraph"/>
        <w:numPr>
          <w:ilvl w:val="0"/>
          <w:numId w:val="2"/>
        </w:numPr>
        <w:spacing w:after="80" w:line="276"/>
      </w:pPr>
      <w:r>
        <w:rPr>
          <w:rFonts w:ascii="Calibri" w:cs="Calibri" w:eastAsia="Calibri" w:hAnsi="Calibri"/>
          <w:color w:val="1A1A1A"/>
          <w:sz w:val="21"/>
          <w:szCs w:val="21"/>
        </w:rPr>
        <w:t xml:space="preserve">Note every workaround: spreadsheets, personal checklists, sticky notes, informal escalation paths. Workarounds mark where the official process fails.</w:t>
      </w:r>
    </w:p>
    <w:p>
      <w:pPr>
        <w:pStyle w:val="ListParagraph"/>
        <w:numPr>
          <w:ilvl w:val="0"/>
          <w:numId w:val="2"/>
        </w:numPr>
        <w:spacing w:after="80" w:line="276"/>
      </w:pPr>
      <w:r>
        <w:rPr>
          <w:rFonts w:ascii="Calibri" w:cs="Calibri" w:eastAsia="Calibri" w:hAnsi="Calibri"/>
          <w:color w:val="1A1A1A"/>
          <w:sz w:val="21"/>
          <w:szCs w:val="21"/>
        </w:rPr>
        <w:t xml:space="preserve">Debrief the participant the same day while the file is fresh and confirm the reading is fair.</w:t>
      </w:r>
    </w:p>
    <w:p>
      <w:pPr>
        <w:pStyle w:val="ListParagraph"/>
        <w:numPr>
          <w:ilvl w:val="0"/>
          <w:numId w:val="2"/>
        </w:numPr>
        <w:spacing w:after="80" w:line="276"/>
      </w:pPr>
      <w:r>
        <w:rPr>
          <w:rFonts w:ascii="Calibri" w:cs="Calibri" w:eastAsia="Calibri" w:hAnsi="Calibri"/>
          <w:color w:val="1A1A1A"/>
          <w:sz w:val="21"/>
          <w:szCs w:val="21"/>
        </w:rPr>
        <w:t xml:space="preserve">Reconcile observed touch time against LOS elapsed time and explain the difference explicitly.</w:t>
      </w:r>
    </w:p>
    <w:p>
      <w:pPr>
        <w:spacing w:after="80" w:before="200"/>
      </w:pPr>
      <w:r>
        <w:rPr>
          <w:rFonts w:ascii="Calibri" w:cs="Calibri" w:eastAsia="Calibri" w:hAnsi="Calibri"/>
          <w:b/>
          <w:bCs/>
          <w:color w:val="0E3A4F"/>
          <w:sz w:val="22"/>
          <w:szCs w:val="22"/>
        </w:rPr>
        <w:t xml:space="preserve">The observer effect, and living with it</w:t>
      </w:r>
    </w:p>
    <w:p>
      <w:pPr>
        <w:spacing w:after="120" w:line="276"/>
      </w:pPr>
      <w:r>
        <w:rPr>
          <w:rFonts w:ascii="Calibri" w:cs="Calibri" w:eastAsia="Calibri" w:hAnsi="Calibri"/>
          <w:color w:val="1A1A1A"/>
          <w:sz w:val="21"/>
          <w:szCs w:val="21"/>
        </w:rPr>
        <w:t xml:space="preserve">People work more carefully when watched. This is unavoidable and it biases the baseline toward higher quality and slower times — which is conservative for quality claims and generous for labor claims. Do not pretend it away; manage it and disclose it.</w:t>
      </w:r>
    </w:p>
    <w:p>
      <w:pPr>
        <w:pStyle w:val="ListParagraph"/>
        <w:numPr>
          <w:ilvl w:val="0"/>
          <w:numId w:val="3"/>
        </w:numPr>
        <w:spacing w:after="80" w:line="276"/>
      </w:pPr>
      <w:r>
        <w:rPr>
          <w:rFonts w:ascii="Calibri" w:cs="Calibri" w:eastAsia="Calibri" w:hAnsi="Calibri"/>
          <w:color w:val="1A1A1A"/>
          <w:sz w:val="21"/>
          <w:szCs w:val="21"/>
        </w:rPr>
        <w:t xml:space="preserve">Observe across multiple days so novelty wears off; discard or discount day one</w:t>
      </w:r>
    </w:p>
    <w:p>
      <w:pPr>
        <w:pStyle w:val="ListParagraph"/>
        <w:numPr>
          <w:ilvl w:val="0"/>
          <w:numId w:val="3"/>
        </w:numPr>
        <w:spacing w:after="80" w:line="276"/>
      </w:pPr>
      <w:r>
        <w:rPr>
          <w:rFonts w:ascii="Calibri" w:cs="Calibri" w:eastAsia="Calibri" w:hAnsi="Calibri"/>
          <w:color w:val="1A1A1A"/>
          <w:sz w:val="21"/>
          <w:szCs w:val="21"/>
        </w:rPr>
        <w:t xml:space="preserve">Triangulate observed times against LOS event data on the same files</w:t>
      </w:r>
    </w:p>
    <w:p>
      <w:pPr>
        <w:pStyle w:val="ListParagraph"/>
        <w:numPr>
          <w:ilvl w:val="0"/>
          <w:numId w:val="3"/>
        </w:numPr>
        <w:spacing w:after="80" w:line="276"/>
      </w:pPr>
      <w:r>
        <w:rPr>
          <w:rFonts w:ascii="Calibri" w:cs="Calibri" w:eastAsia="Calibri" w:hAnsi="Calibri"/>
          <w:color w:val="1A1A1A"/>
          <w:sz w:val="21"/>
          <w:szCs w:val="21"/>
        </w:rPr>
        <w:t xml:space="preserve">Have participants observe each other as well as being observed by the analyst — peer observation is markedly less distorting</w:t>
      </w:r>
    </w:p>
    <w:p>
      <w:pPr>
        <w:pStyle w:val="ListParagraph"/>
        <w:numPr>
          <w:ilvl w:val="0"/>
          <w:numId w:val="3"/>
        </w:numPr>
        <w:spacing w:after="80" w:line="276"/>
      </w:pPr>
      <w:r>
        <w:rPr>
          <w:rFonts w:ascii="Calibri" w:cs="Calibri" w:eastAsia="Calibri" w:hAnsi="Calibri"/>
          <w:color w:val="1A1A1A"/>
          <w:sz w:val="21"/>
          <w:szCs w:val="21"/>
        </w:rPr>
        <w:t xml:space="preserve">State the effect and its direction as a documented limitation in the baseline record</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Observation record — one per loan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369"/>
        <w:gridCol w:w="5991"/>
      </w:tblGrid>
      <w:tr>
        <w:trPr>
          <w:tblHeader/>
        </w:trPr>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Field</w:t>
            </w:r>
          </w:p>
        </w:tc>
        <w:tc>
          <w:tcPr>
            <w:tcW w:type="dxa" w:w="599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Captured</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 ID, complexity, participant, date</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Minutes by task category</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Against the taxonomy above</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Interruption count and total minutes lost</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Waiting time and what was being waited on</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Systems touched and switch count</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Workarounds observed</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Free text — high value</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Friction points verbatim</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Free text — high value</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Rework and its trigger</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 debrief note</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Confirmed same day</w:t>
            </w:r>
          </w:p>
        </w:tc>
      </w:tr>
    </w:tbl>
    <w:p>
      <w:pPr>
        <w:spacing w:after="160"/>
      </w:pPr>
    </w:p>
    <w:p>
      <w:pPr>
        <w:spacing w:after="80" w:before="200"/>
      </w:pPr>
      <w:r>
        <w:rPr>
          <w:rFonts w:ascii="Calibri" w:cs="Calibri" w:eastAsia="Calibri" w:hAnsi="Calibri"/>
          <w:b/>
          <w:bCs/>
          <w:color w:val="0E3A4F"/>
          <w:sz w:val="22"/>
          <w:szCs w:val="22"/>
        </w:rPr>
        <w:t xml:space="preserve">Synthesis — produced at Day 25 and carried into the baseline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369"/>
        <w:gridCol w:w="5991"/>
      </w:tblGrid>
      <w:tr>
        <w:trPr>
          <w:tblHeader/>
        </w:trPr>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c>
          <w:tcPr>
            <w:tcW w:type="dxa" w:w="599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Use</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Time distribution by task category</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Labor baseline; identifies where Jazz could plausibly help</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Documented vs. actual process map</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Shows where the official process is not the real one</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Top friction points, ranked</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Sets the initial tuning priority</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Workaround inventory</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Often the strongest evidence of unmet need</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Addressable share of touch time</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theoretical ceiling on labor value — an essential reality check on the business case</w:t>
            </w:r>
          </w:p>
        </w:tc>
      </w:tr>
    </w:tbl>
    <w:p>
      <w:pPr>
        <w:spacing w:after="160" w:before="80"/>
      </w:pPr>
      <w:r>
        <w:rPr>
          <w:rFonts w:ascii="Calibri" w:cs="Calibri" w:eastAsia="Calibri" w:hAnsi="Calibri"/>
          <w:i/>
          <w:iCs/>
          <w:color w:val="5A6B73"/>
          <w:sz w:val="18"/>
          <w:szCs w:val="18"/>
        </w:rPr>
        <w:t xml:space="preserve">If addressable time is only 20% of touch time, no amount of tuning produces a 50% labor saving. Better to know that at Day 25 than at Day 90.</w:t>
      </w: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 1</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Briefing; observation begins; method calibrated on first files</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Calibrated method</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Weeks 1–3</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Observation across participants and complexities</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Observation dataset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Daily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Same-day debrief with the observed participant</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Confirmed records</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20</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Preliminary synthesis reviewed with participants</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Validated findings</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25</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Final synthesis into the baseline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Observation report</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60 and 85</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Short re-observation to measure how the work itself changed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Before/after comparison</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20–30 complete loans observed across participants and complexity levels</w:t>
      </w:r>
    </w:p>
    <w:p>
      <w:pPr>
        <w:pStyle w:val="ListParagraph"/>
        <w:numPr>
          <w:ilvl w:val="0"/>
          <w:numId w:val="3"/>
        </w:numPr>
        <w:spacing w:after="80" w:line="276"/>
      </w:pPr>
      <w:r>
        <w:rPr>
          <w:rFonts w:ascii="Calibri" w:cs="Calibri" w:eastAsia="Calibri" w:hAnsi="Calibri"/>
          <w:color w:val="1A1A1A"/>
          <w:sz w:val="21"/>
          <w:szCs w:val="21"/>
        </w:rPr>
        <w:t xml:space="preserve">Time coded against the taxonomy with interruptions and waiting captured</w:t>
      </w:r>
    </w:p>
    <w:p>
      <w:pPr>
        <w:pStyle w:val="ListParagraph"/>
        <w:numPr>
          <w:ilvl w:val="0"/>
          <w:numId w:val="3"/>
        </w:numPr>
        <w:spacing w:after="80" w:line="276"/>
      </w:pPr>
      <w:r>
        <w:rPr>
          <w:rFonts w:ascii="Calibri" w:cs="Calibri" w:eastAsia="Calibri" w:hAnsi="Calibri"/>
          <w:color w:val="1A1A1A"/>
          <w:sz w:val="21"/>
          <w:szCs w:val="21"/>
        </w:rPr>
        <w:t xml:space="preserve">Observed times reconciled against LOS data with differences explained</w:t>
      </w:r>
    </w:p>
    <w:p>
      <w:pPr>
        <w:pStyle w:val="ListParagraph"/>
        <w:numPr>
          <w:ilvl w:val="0"/>
          <w:numId w:val="3"/>
        </w:numPr>
        <w:spacing w:after="80" w:line="276"/>
      </w:pPr>
      <w:r>
        <w:rPr>
          <w:rFonts w:ascii="Calibri" w:cs="Calibri" w:eastAsia="Calibri" w:hAnsi="Calibri"/>
          <w:color w:val="1A1A1A"/>
          <w:sz w:val="21"/>
          <w:szCs w:val="21"/>
        </w:rPr>
        <w:t xml:space="preserve">Findings shared openly with participants and confirmed as fair</w:t>
      </w:r>
    </w:p>
    <w:p>
      <w:pPr>
        <w:pStyle w:val="ListParagraph"/>
        <w:numPr>
          <w:ilvl w:val="0"/>
          <w:numId w:val="3"/>
        </w:numPr>
        <w:spacing w:after="80" w:line="276"/>
      </w:pPr>
      <w:r>
        <w:rPr>
          <w:rFonts w:ascii="Calibri" w:cs="Calibri" w:eastAsia="Calibri" w:hAnsi="Calibri"/>
          <w:color w:val="1A1A1A"/>
          <w:sz w:val="21"/>
          <w:szCs w:val="21"/>
        </w:rPr>
        <w:t xml:space="preserve">Addressable share of touch time quantified and used as a reality check on the value hypothesis</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Observation compressed because "we already know how it works"</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Ring-fenced in Weeks 1–3; the documented-vs-actual gap at Day 25 is the standing rebuttal</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Observer effect inflates the baseline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Multi-day observation, peer observation, triangulation, disclosed as a limitation</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Only straightforward loans observed</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Complexity mix planned in advance and tracked</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Participants feel evaluated and change behaviour or disengage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Open briefing, same-day debrief, findings shared, explicitly about process not person</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Findings not used, and observation becomes an academic exercise</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Friction ranking directly seeds the tuning backlog at Day 15</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Observing Real Underwriting &amp; Fulfillment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Observing Real Underwriting &amp; Fulfillment</dc:title>
  <dc:creator>Design Studio Program Office</dc:creator>
  <dc:description>Watch what people actually do, not what the process document says they do.</dc:description>
  <cp:lastModifiedBy>Un-named</cp:lastModifiedBy>
  <cp:revision>1</cp:revision>
  <dcterms:created xsi:type="dcterms:W3CDTF">2026-08-03T23:55:14.858Z</dcterms:created>
  <dcterms:modified xsi:type="dcterms:W3CDTF">2026-08-03T23:55:14.858Z</dcterms:modified>
</cp:coreProperties>
</file>

<file path=docProps/custom.xml><?xml version="1.0" encoding="utf-8"?>
<Properties xmlns="http://schemas.openxmlformats.org/officeDocument/2006/custom-properties" xmlns:vt="http://schemas.openxmlformats.org/officeDocument/2006/docPropsVTypes"/>
</file>