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TUNE IN JAZZ  │  ONE-PAGER 15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Refining Prompts, Conditions &amp; Document Recognition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The three tuning surfaces, who may change what, and how a change is proven.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define the mechanics of tuning: the three surfaces available, the workflow a change passes through, who is authorised to make each kind of change, and the evidence required before a change is considered verified. This is the most operationally detailed document in the pack because it is the work the studio does most often.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tuning backlog and cadence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engineer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implements, then enables us to implement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sole authority on whether an output is correct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regression and effect measurement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liaison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approves borrower-affecting changes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underwriter is the sole arbiter of correctness.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Not the vendor, not the Studio Lead. Ground truth is a credit judgement.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One substantive change per surface per cycle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effects remain attributable.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change runs against 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regression set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before shipping — a held-back set of loans previously handled correctly.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change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verified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only after measurement on new loans, not on the loans that prompted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Condition logic changes and anything affecting adverse-action reasoning require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Compliance review before shipping.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three surfaces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872"/>
        <w:gridCol w:w="2620"/>
        <w:gridCol w:w="2620"/>
        <w:gridCol w:w="2248"/>
      </w:tblGrid>
      <w:tr>
        <w:trPr>
          <w:tblHeader/>
        </w:trPr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Surface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change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failure it fixes</w:t>
            </w:r>
          </w:p>
        </w:tc>
        <w:tc>
          <w:tcPr>
            <w:tcW w:type="dxa" w:w="224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 of changing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Document recognition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Classification rules, templates, quality handling for a document type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Bank statement from a regional lender misclassified; scanned paystub not read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Low — narrow blast radius, easy to regression-test</w:t>
            </w:r>
          </w:p>
        </w:tc>
      </w:tr>
      <w:tr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Data extraction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Field mapping, extraction logic, validation and cross-check rules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YTD income pulled from the wrong column; multi-page document truncated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Medium — a field error propagates into calculations downstream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Prompts and condition logic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Instructions governing what Jazz evaluates, how it reasons, when it raises a condition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Over-conditioning on gift funds; missing a required VOE condition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High — directly affects borrower outcomes; always Compliance-reviewed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Change workflow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Observed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difference is recorded in the comparison log during normal studio work.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Triaged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categorised by surface, frequency and severity in the weekly loop.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Root-caused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is this a prompt problem, a source data problem, a document quality problem, or a genuine limitation? Changing a prompt to fix bad source data makes things worse.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Specified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intended behaviour written down before anyone changes anything, in underwriting language.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Built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implemented by JazzX early in the program, by our team from Day 46.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Regression tested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run against the held-back set; any degradation blocks the ship.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Reviewed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Compliance reviews if borrower-affecting.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Shipped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deployed at the Thursday cycle with a version tag.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Verified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measured on new loans the following week and marked verified, reverted, or refined.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Root-cause first — the discipline that saves the most time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When Jazz gets something wrong, the reflex is to change the prompt. Often the prompt is fine and something upstream is not. Diagnosing before tuning avoids a class of change that appears to work on the observed file and degrades everything else.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369"/>
        <w:gridCol w:w="3182"/>
        <w:gridCol w:w="2809"/>
      </w:tblGrid>
      <w:tr>
        <w:trPr>
          <w:tblHeader/>
        </w:trPr>
        <w:tc>
          <w:tcPr>
            <w:tcW w:type="dxa" w:w="336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the failure is...</w:t>
            </w:r>
          </w:p>
        </w:tc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fix is...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Not...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document type Jazz has not seen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Recognition training or template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prompt change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document is illegible or truncated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Upstream capture quality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tuning at all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field exists but was read wrongly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Extraction mapping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prompt change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data is right but the judgement is wrong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or condition logic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Extraction changes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Our guideline is ambiguous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Fix the guideline, then the prompt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Encoding the ambiguity into Jazz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Genuine model limitation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Log as an accepted limitation; feed one-pager 17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Endless tuning against a wall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Prompt hygiene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Prompts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version-controlled with an author, a date and a rationale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not edited in place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Write in the underwriting language of your own guidelines, not in generic terms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Encode the guideline reference so a change is traceable to a policy source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Prefer explicit over clever; a prompt a new underwriter can read and verify is a prompt you can defend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When a prompt grows past readability, split it rather than extending it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encode a rule nobody can point to a guideline for — that is how undocumented credit policy is created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Change record — one per change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6178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17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ID, date, author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Surface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Recognition / extraction / prompt / condition logic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Triggered by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log entries — list loan IDs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 cause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Intended behaviour change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 underwriting language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Guideline reference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result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Pass / fail, with any degradation noted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reviewed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Yes / no / not applicable, with reviewer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Shipped version and date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Effect measured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Metric, before, after, 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Status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Verified / reverted / refined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Change authority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2808"/>
        <w:gridCol w:w="3370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 type</w:t>
            </w:r>
          </w:p>
        </w:tc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May be made by</w:t>
            </w:r>
          </w:p>
        </w:tc>
        <w:tc>
          <w:tcPr>
            <w:tcW w:type="dxa" w:w="337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recognition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(from Day 46)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pass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extraction mapping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(from Day 46)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pass + underwriter confirmation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refinement, no outcome change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with JazzX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pass + underwriter sign-off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logic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+ senior underwriter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review before ship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Anything affecting adverse-action reasoning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review + Model Risk notification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Anything expanding the data sent to Jazz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Not the studio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 + Steering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Monday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Backlog triage; week's changes specified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specifications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Tue–Wed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and regression test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results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Wednesday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freeze; Compliance review where required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Approved change set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Thursday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Ship with version tag; review in the weekly loop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Deployed version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Following week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Effect measured on new loans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Verified / reverted / refined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gates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Cumulative change history and net effect presented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Improvement log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change has a record with root cause, regression result and measured effect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Regression set run on every cycle with no unexplained degradation shipped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Compliance reviewed every borrower-affecting change before it shipped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Prompts version-controlled with author, date, rationale and guideline reference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Studio team making changes independently from Day 46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changed to fix what is actually a data quality problem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Root-cause step is mandatory before specification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set degrades silently over many small changes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Full regression every cycle; results reviewed in the weekly loop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Undocumented credit policy created inside prompts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Guideline reference required on every condition-logic change; Compliance review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makes changes outside the cycle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control agreed in the SOW; version tag on every studio loan reveals drift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optimises the metric rather than the outcome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 is sole arbiter of correctness; false clear rate guards the trade-off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Refining Prompts, Conditions &amp; Document Recognition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Refining Prompts, Conditions &amp; Document Recognition</dc:title>
  <dc:creator>Design Studio Program Office</dc:creator>
  <dc:description>The three tuning surfaces, who may change what, and how a change is proven.</dc:description>
  <cp:lastModifiedBy>Un-named</cp:lastModifiedBy>
  <cp:revision>1</cp:revision>
  <dcterms:created xsi:type="dcterms:W3CDTF">2026-08-03T23:55:14.913Z</dcterms:created>
  <dcterms:modified xsi:type="dcterms:W3CDTF">2026-08-03T23:55:14.913Z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