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3E8FA3"/>
          <w:spacing w:val="30"/>
          <w:sz w:val="17"/>
          <w:szCs w:val="17"/>
        </w:rPr>
        <w:t xml:space="preserve">EXECUTION — TUNE IN JAZZ  │  ONE-PAGER 17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E3A4F"/>
          <w:sz w:val="40"/>
          <w:szCs w:val="40"/>
        </w:rPr>
        <w:t xml:space="preserve">Next Technology Changes &amp; Build Start</w:t>
      </w:r>
    </w:p>
    <w:p>
      <w:pPr>
        <w:pBdr>
          <w:bottom w:val="single" w:color="1B6B7C" w:sz="12" w:space="8"/>
        </w:pBdr>
        <w:spacing w:after="200"/>
      </w:pPr>
      <w:r>
        <w:rPr>
          <w:rFonts w:ascii="Calibri" w:cs="Calibri" w:eastAsia="Calibri" w:hAnsi="Calibri"/>
          <w:i/>
          <w:iCs/>
          <w:color w:val="5A6B73"/>
          <w:sz w:val="21"/>
          <w:szCs w:val="21"/>
        </w:rPr>
        <w:t xml:space="preserve">Turning studio findings into a costed engineering backlog — and starting the safe parts now.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PURPOSE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 convert what the studio learns into a concrete, costed technology roadmap, and to start building the items that are worth building regardless of the Gate 4 outcome. Without this, the studio ends with a recommendation and no execution path, and the three months of insight decay while a scale plan is written from scratch.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OWNER &amp; RACI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3182"/>
        <w:gridCol w:w="3744"/>
        <w:gridCol w:w="2434"/>
      </w:tblGrid>
      <w:tr>
        <w:trPr>
          <w:tblHeader/>
        </w:trPr>
        <w:tc>
          <w:tcPr>
            <w:tcW w:type="dxa" w:w="318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744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Who (fill in at G0)</w:t>
            </w:r>
          </w:p>
        </w:tc>
        <w:tc>
          <w:tcPr>
            <w:tcW w:type="dxa" w:w="2434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 / A / C / I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IT / Engineering lead</w:t>
            </w:r>
          </w:p>
        </w:tc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 — owns the technical roadmap</w:t>
            </w:r>
          </w:p>
        </w:tc>
      </w:tr>
      <w:tr>
        <w:tc>
          <w:tcPr>
            <w:tcW w:type="dxa" w:w="318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Lead</w:t>
            </w:r>
          </w:p>
        </w:tc>
        <w:tc>
          <w:tcPr>
            <w:tcW w:type="dxa" w:w="374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 — supplies the findings and priorities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JazzX engagement lead</w:t>
            </w:r>
          </w:p>
        </w:tc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 — vendor-side roadmap dependencies</w:t>
            </w:r>
          </w:p>
        </w:tc>
      </w:tr>
      <w:tr>
        <w:tc>
          <w:tcPr>
            <w:tcW w:type="dxa" w:w="318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Enterprise architecture</w:t>
            </w:r>
          </w:p>
        </w:tc>
        <w:tc>
          <w:tcPr>
            <w:tcW w:type="dxa" w:w="374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 — fit with the target state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Finance</w:t>
            </w:r>
          </w:p>
        </w:tc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 — costs the roadmap for the business case</w:t>
            </w:r>
          </w:p>
        </w:tc>
      </w:tr>
    </w:tbl>
    <w:p>
      <w:pPr>
        <w:spacing w:after="120"/>
      </w:pP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DECISIONS THIS DOCUMENT MAKES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Findings are triaged into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tune / build / vendor / accept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four fundamentally different responses that are routinely conflated.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Build work starts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during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the studio only for items that are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no-regret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valuable whether or not Jazz is adopted.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Anything Jazz-specific waits for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Gate 4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so a no-go does not strand sunk engineering cost.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Every roadmap item is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costed and sequenced before Gate 4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so the scale decision is made with a real number rather than an intention.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Vendor roadmap dependencies are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written into the record with dates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and unconfirmed dependencies are treated as risks, not plans.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THE FRAMEWORK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Triage — four responses, not one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1497"/>
        <w:gridCol w:w="3931"/>
        <w:gridCol w:w="1872"/>
        <w:gridCol w:w="2060"/>
      </w:tblGrid>
      <w:tr>
        <w:trPr>
          <w:tblHeader/>
        </w:trPr>
        <w:tc>
          <w:tcPr>
            <w:tcW w:type="dxa" w:w="1497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  <w:tc>
          <w:tcPr>
            <w:tcW w:type="dxa" w:w="3931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187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060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Timing</w:t>
            </w:r>
          </w:p>
        </w:tc>
      </w:tr>
      <w:tr>
        <w:tc>
          <w:tcPr>
            <w:tcW w:type="dxa" w:w="149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Tune</w:t>
            </w:r>
          </w:p>
        </w:tc>
        <w:tc>
          <w:tcPr>
            <w:tcW w:type="dxa" w:w="393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Fixable within Jazz configuration</w:t>
            </w:r>
          </w:p>
        </w:tc>
        <w:tc>
          <w:tcPr>
            <w:tcW w:type="dxa" w:w="187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</w:t>
            </w:r>
          </w:p>
        </w:tc>
        <w:tc>
          <w:tcPr>
            <w:tcW w:type="dxa" w:w="2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This week</w:t>
            </w:r>
          </w:p>
        </w:tc>
      </w:tr>
      <w:tr>
        <w:tc>
          <w:tcPr>
            <w:tcW w:type="dxa" w:w="1497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Build</w:t>
            </w:r>
          </w:p>
        </w:tc>
        <w:tc>
          <w:tcPr>
            <w:tcW w:type="dxa" w:w="3931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Needs work in our systems — integration, data quality, workflow</w:t>
            </w:r>
          </w:p>
        </w:tc>
        <w:tc>
          <w:tcPr>
            <w:tcW w:type="dxa" w:w="187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IT</w:t>
            </w:r>
          </w:p>
        </w:tc>
        <w:tc>
          <w:tcPr>
            <w:tcW w:type="dxa" w:w="206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No-regret now; the rest post-G4</w:t>
            </w:r>
          </w:p>
        </w:tc>
      </w:tr>
      <w:tr>
        <w:tc>
          <w:tcPr>
            <w:tcW w:type="dxa" w:w="149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Vendor</w:t>
            </w:r>
          </w:p>
        </w:tc>
        <w:tc>
          <w:tcPr>
            <w:tcW w:type="dxa" w:w="393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Needs a JazzX product change</w:t>
            </w:r>
          </w:p>
        </w:tc>
        <w:tc>
          <w:tcPr>
            <w:tcW w:type="dxa" w:w="187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JazzX</w:t>
            </w:r>
          </w:p>
        </w:tc>
        <w:tc>
          <w:tcPr>
            <w:tcW w:type="dxa" w:w="2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Their roadmap, tracked with dates</w:t>
            </w:r>
          </w:p>
        </w:tc>
      </w:tr>
      <w:tr>
        <w:tc>
          <w:tcPr>
            <w:tcW w:type="dxa" w:w="1497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Accept</w:t>
            </w:r>
          </w:p>
        </w:tc>
        <w:tc>
          <w:tcPr>
            <w:tcW w:type="dxa" w:w="3931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Not economic to fix; the workflow absorbs it</w:t>
            </w:r>
          </w:p>
        </w:tc>
        <w:tc>
          <w:tcPr>
            <w:tcW w:type="dxa" w:w="187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</w:t>
            </w:r>
          </w:p>
        </w:tc>
        <w:tc>
          <w:tcPr>
            <w:tcW w:type="dxa" w:w="206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Documented as a limitation</w:t>
            </w:r>
          </w:p>
        </w:tc>
      </w:tr>
    </w:tbl>
    <w:p>
      <w:pPr>
        <w:spacing w:after="160" w:before="80"/>
      </w:pPr>
      <w:r>
        <w:rPr>
          <w:rFonts w:ascii="Calibri" w:cs="Calibri" w:eastAsia="Calibri" w:hAnsi="Calibri"/>
          <w:i/>
          <w:iCs/>
          <w:color w:val="5A6B73"/>
          <w:sz w:val="18"/>
          <w:szCs w:val="18"/>
        </w:rPr>
        <w:t xml:space="preserve">Misfiling a Build item as a Tune item produces weeks of futile prompt engineering. This triage is worth doing carefully.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No-regret build items — safe to start during the studio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These generally pay for themselves through better data and cleaner process regardless of the Gate 4 outcome, and they are the reason a no-go studio still returns value.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Document capture quality at the source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better scans and better borrower upload guidance improve every downstream process, AI or not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Data quality remediation in the LOS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the studio will expose field-level inconsistencies that have been quietly costing money for years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Event instrumentation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the measurement built for the baseline is worth keeping permanently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Document taxonomy standardisation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a consistent naming and classification scheme benefits every system that touches documents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Guideline clarification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every ambiguity the studio surfaced in trying to encode a rule is a real ambiguity affecting human underwriters today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Wait-for-Gate-4 items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LOS write-back and system-of-record automation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Production-grade integration hardening and scaling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Any workflow redesign predicated on Jazz being present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Jazz-specific monitoring, alerting and support tooling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Expansion of data flows to the vendor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ARTIFACTS &amp; TEMPLATES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Technology roadmap — costed before Gate 4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2433"/>
        <w:gridCol w:w="1123"/>
        <w:gridCol w:w="1497"/>
        <w:gridCol w:w="1123"/>
        <w:gridCol w:w="1684"/>
        <w:gridCol w:w="1500"/>
      </w:tblGrid>
      <w:tr>
        <w:trPr>
          <w:tblHeader/>
        </w:trPr>
        <w:tc>
          <w:tcPr>
            <w:tcW w:type="dxa" w:w="2433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123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Triage</w:t>
            </w:r>
          </w:p>
        </w:tc>
        <w:tc>
          <w:tcPr>
            <w:tcW w:type="dxa" w:w="1497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1123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684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  <w:tc>
          <w:tcPr>
            <w:tcW w:type="dxa" w:w="1500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Start</w:t>
            </w:r>
          </w:p>
        </w:tc>
      </w:tr>
      <w:tr>
        <w:tc>
          <w:tcPr>
            <w:tcW w:type="dxa" w:w="243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1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Tune / Build / Vendor / Accept</w:t>
            </w:r>
          </w:p>
        </w:tc>
        <w:tc>
          <w:tcPr>
            <w:tcW w:type="dxa" w:w="149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H / M / L</w:t>
            </w:r>
          </w:p>
        </w:tc>
        <w:tc>
          <w:tcPr>
            <w:tcW w:type="dxa" w:w="11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Days</w:t>
            </w:r>
          </w:p>
        </w:tc>
        <w:tc>
          <w:tcPr>
            <w:tcW w:type="dxa" w:w="168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Now / Post-G4</w:t>
            </w:r>
          </w:p>
        </w:tc>
      </w:tr>
      <w:tr>
        <w:tc>
          <w:tcPr>
            <w:tcW w:type="dxa" w:w="2433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123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497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123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68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3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1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49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1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68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33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123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497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123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68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3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1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49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1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68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</w:tbl>
    <w:p>
      <w:pPr>
        <w:spacing w:after="160" w:before="80"/>
      </w:pPr>
      <w:r>
        <w:rPr>
          <w:rFonts w:ascii="Calibri" w:cs="Calibri" w:eastAsia="Calibri" w:hAnsi="Calibri"/>
          <w:i/>
          <w:iCs/>
          <w:color w:val="5A6B73"/>
          <w:sz w:val="18"/>
          <w:szCs w:val="18"/>
        </w:rPr>
        <w:t xml:space="preserve">Populated continuously from Day 15; costed and sequenced by Day 80 so Gate 4 has a real number.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Vendor roadmap dependencies — track explicitly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2995"/>
        <w:gridCol w:w="1872"/>
        <w:gridCol w:w="1872"/>
        <w:gridCol w:w="2621"/>
      </w:tblGrid>
      <w:tr>
        <w:trPr>
          <w:tblHeader/>
        </w:trPr>
        <w:tc>
          <w:tcPr>
            <w:tcW w:type="dxa" w:w="2995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Capability needed</w:t>
            </w:r>
          </w:p>
        </w:tc>
        <w:tc>
          <w:tcPr>
            <w:tcW w:type="dxa" w:w="187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JazzX committed date</w:t>
            </w:r>
          </w:p>
        </w:tc>
        <w:tc>
          <w:tcPr>
            <w:tcW w:type="dxa" w:w="187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Confirmed in writing?</w:t>
            </w:r>
          </w:p>
        </w:tc>
        <w:tc>
          <w:tcPr>
            <w:tcW w:type="dxa" w:w="2621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Fallback if late</w:t>
            </w:r>
          </w:p>
        </w:tc>
      </w:tr>
      <w:tr>
        <w:tc>
          <w:tcPr>
            <w:tcW w:type="dxa" w:w="299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87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87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62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995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87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87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621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99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87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87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62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</w:tbl>
    <w:p>
      <w:pPr>
        <w:spacing w:after="160" w:before="80"/>
      </w:pPr>
      <w:r>
        <w:rPr>
          <w:rFonts w:ascii="Calibri" w:cs="Calibri" w:eastAsia="Calibri" w:hAnsi="Calibri"/>
          <w:i/>
          <w:iCs/>
          <w:color w:val="5A6B73"/>
          <w:sz w:val="18"/>
          <w:szCs w:val="18"/>
        </w:rPr>
        <w:t xml:space="preserve">An uncommitted vendor date is a risk on the register, never a line in the plan.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CADENCE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2059"/>
        <w:gridCol w:w="4492"/>
        <w:gridCol w:w="2809"/>
      </w:tblGrid>
      <w:tr>
        <w:trPr>
          <w:tblHeader/>
        </w:trPr>
        <w:tc>
          <w:tcPr>
            <w:tcW w:type="dxa" w:w="2059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449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2809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Weekly</w:t>
            </w:r>
          </w:p>
        </w:tc>
        <w:tc>
          <w:tcPr>
            <w:tcW w:type="dxa" w:w="449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New findings triaged into the four categories</w:t>
            </w:r>
          </w:p>
        </w:tc>
        <w:tc>
          <w:tcPr>
            <w:tcW w:type="dxa" w:w="280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Updated roadmap</w:t>
            </w:r>
          </w:p>
        </w:tc>
      </w:tr>
      <w:tr>
        <w:tc>
          <w:tcPr>
            <w:tcW w:type="dxa" w:w="205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Biweekly</w:t>
            </w:r>
          </w:p>
        </w:tc>
        <w:tc>
          <w:tcPr>
            <w:tcW w:type="dxa" w:w="449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Engineering review of build items with IT</w:t>
            </w:r>
          </w:p>
        </w:tc>
        <w:tc>
          <w:tcPr>
            <w:tcW w:type="dxa" w:w="280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Effort estimates</w:t>
            </w:r>
          </w:p>
        </w:tc>
      </w:tr>
      <w:tr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Day 45</w:t>
            </w:r>
          </w:p>
        </w:tc>
        <w:tc>
          <w:tcPr>
            <w:tcW w:type="dxa" w:w="449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No-regret build items started</w:t>
            </w:r>
          </w:p>
        </w:tc>
        <w:tc>
          <w:tcPr>
            <w:tcW w:type="dxa" w:w="280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Work in progress</w:t>
            </w:r>
          </w:p>
        </w:tc>
      </w:tr>
      <w:tr>
        <w:tc>
          <w:tcPr>
            <w:tcW w:type="dxa" w:w="205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Day 70</w:t>
            </w:r>
          </w:p>
        </w:tc>
        <w:tc>
          <w:tcPr>
            <w:tcW w:type="dxa" w:w="449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Roadmap costed and sequenced</w:t>
            </w:r>
          </w:p>
        </w:tc>
        <w:tc>
          <w:tcPr>
            <w:tcW w:type="dxa" w:w="280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Draft scale roadmap</w:t>
            </w:r>
          </w:p>
        </w:tc>
      </w:tr>
      <w:tr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Day 80</w:t>
            </w:r>
          </w:p>
        </w:tc>
        <w:tc>
          <w:tcPr>
            <w:tcW w:type="dxa" w:w="449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Roadmap finalised for the Gate 4 pack</w:t>
            </w:r>
          </w:p>
        </w:tc>
        <w:tc>
          <w:tcPr>
            <w:tcW w:type="dxa" w:w="280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Costed roadmap</w:t>
            </w:r>
          </w:p>
        </w:tc>
      </w:tr>
    </w:tbl>
    <w:p>
      <w:pPr>
        <w:spacing w:after="120"/>
      </w:pP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Every studio finding triaged into tune / build / vendor / accept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No-regret items started and progressing by Day 45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Full roadmap costed and sequenced before Gate 4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Vendor dependencies documented with dates and written confirmation status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 Jazz-specific engineering committed before the Gate 4 decision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RISKS &amp; ESCALATION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2808"/>
        <w:gridCol w:w="4212"/>
        <w:gridCol w:w="2340"/>
      </w:tblGrid>
      <w:tr>
        <w:trPr>
          <w:tblHeader/>
        </w:trPr>
        <w:tc>
          <w:tcPr>
            <w:tcW w:type="dxa" w:w="2808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421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  <w:tc>
          <w:tcPr>
            <w:tcW w:type="dxa" w:w="2340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Escalates to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Build work starts on Jazz-specific items and is stranded by a no-go</w:t>
            </w:r>
          </w:p>
        </w:tc>
        <w:tc>
          <w:tcPr>
            <w:tcW w:type="dxa" w:w="42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No-regret test applied before any build starts; Steering approves exceptions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IT lead</w:t>
            </w:r>
          </w:p>
        </w:tc>
      </w:tr>
      <w:tr>
        <w:tc>
          <w:tcPr>
            <w:tcW w:type="dxa" w:w="280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Roadmap not costed, so Gate 4 decides on an intention</w:t>
            </w:r>
          </w:p>
        </w:tc>
        <w:tc>
          <w:tcPr>
            <w:tcW w:type="dxa" w:w="421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Costing is a Day 80 deliverable and a Gate 4 evidence requirement</w:t>
            </w:r>
          </w:p>
        </w:tc>
        <w:tc>
          <w:tcPr>
            <w:tcW w:type="dxa" w:w="234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Finance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Vendor roadmap promises treated as plan</w:t>
            </w:r>
          </w:p>
        </w:tc>
        <w:tc>
          <w:tcPr>
            <w:tcW w:type="dxa" w:w="42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Written confirmation required; unconfirmed items sit on the risk register with fallbacks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Lead</w:t>
            </w:r>
          </w:p>
        </w:tc>
      </w:tr>
      <w:tr>
        <w:tc>
          <w:tcPr>
            <w:tcW w:type="dxa" w:w="280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Build items misfiled as tuning items</w:t>
            </w:r>
          </w:p>
        </w:tc>
        <w:tc>
          <w:tcPr>
            <w:tcW w:type="dxa" w:w="421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Root-cause discipline in one-pager 15; IT reviews the triage biweekly</w:t>
            </w:r>
          </w:p>
        </w:tc>
        <w:tc>
          <w:tcPr>
            <w:tcW w:type="dxa" w:w="234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IT lead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Data quality work deferred and undermines everything downstream</w:t>
            </w:r>
          </w:p>
        </w:tc>
        <w:tc>
          <w:tcPr>
            <w:tcW w:type="dxa" w:w="42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Explicitly listed as no-regret and started at Day 45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IT lead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DC" w:sz="4" w:space="6"/>
      </w:pBdr>
    </w:pPr>
    <w:r>
      <w:rPr>
        <w:rFonts w:ascii="Calibri" w:cs="Calibri" w:eastAsia="Calibri" w:hAnsi="Calibri"/>
        <w:color w:val="5A6B73"/>
        <w:sz w:val="16"/>
        <w:szCs w:val="16"/>
      </w:rPr>
      <w:t xml:space="preserve">JazzX Design Studio — 90-Day Framework  │  Next Technology Changes &amp; Build Start   </w:t>
    </w:r>
    <w:r>
      <w:rPr>
        <w:rFonts w:ascii="Calibri" w:cs="Calibri" w:eastAsia="Calibri" w:hAnsi="Calibri"/>
        <w:color w:val="5A6B73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03" w:hanging="259"/>
      </w:pPr>
      <w:rPr>
        <w:color w:val="1B6B7C"/>
        <w:sz w:val="21"/>
        <w:szCs w:val="21"/>
      </w:rPr>
    </w:lvl>
    <w:lvl w:ilvl="1" w15:tentative="1">
      <w:start w:val="1"/>
      <w:numFmt w:val="bullet"/>
      <w:lvlText w:val="○"/>
      <w:lvlJc w:val="left"/>
      <w:pPr>
        <w:ind w:left="763" w:hanging="259"/>
      </w:pPr>
      <w:rPr>
        <w:color w:val="5A6B73"/>
        <w:sz w:val="21"/>
        <w:szCs w:val="21"/>
      </w:rPr>
    </w:lvl>
    <w:lvl w:ilvl="2" w15:tentative="1">
      <w:start w:val="1"/>
      <w:numFmt w:val="bullet"/>
      <w:lvlText w:val="▪"/>
      <w:lvlJc w:val="left"/>
      <w:pPr>
        <w:ind w:left="1123" w:hanging="259"/>
      </w:pPr>
      <w:rPr>
        <w:color w:val="5A6B73"/>
        <w:sz w:val="21"/>
        <w:szCs w:val="2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  <w:rPr>
        <w:b/>
        <w:bCs/>
        <w:color w:val="1B6B7C"/>
        <w:sz w:val="21"/>
        <w:szCs w:val="21"/>
      </w:rPr>
    </w:lvl>
    <w:lvl w:ilvl="1" w15:tentative="1">
      <w:start w:val="1"/>
      <w:numFmt w:val="lowerLetter"/>
      <w:lvlText w:val="%2."/>
      <w:lvlJc w:val="left"/>
      <w:pPr>
        <w:ind w:left="835" w:hanging="316"/>
      </w:pPr>
      <w:rPr>
        <w:color w:val="5A6B73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Next Technology Changes &amp; Build Start</dc:title>
  <dc:creator>Design Studio Program Office</dc:creator>
  <dc:description>Turning studio findings into a costed engineering backlog — and starting the safe parts now.</dc:description>
  <cp:lastModifiedBy>Un-named</cp:lastModifiedBy>
  <cp:revision>1</cp:revision>
  <dcterms:created xsi:type="dcterms:W3CDTF">2026-08-03T23:55:14.965Z</dcterms:created>
  <dcterms:modified xsi:type="dcterms:W3CDTF">2026-08-03T23:55:14.965Z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