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8FA3"/>
          <w:spacing w:val="30"/>
          <w:sz w:val="17"/>
          <w:szCs w:val="17"/>
        </w:rPr>
        <w:t xml:space="preserve">EXECUTION — TUNE IN JAZZ  │  ONE-PAGER 18</w:t>
      </w:r>
    </w:p>
    <w:p>
      <w:pPr>
        <w:spacing w:after="60"/>
      </w:pPr>
      <w:r>
        <w:rPr>
          <w:rFonts w:ascii="Calibri" w:cs="Calibri" w:eastAsia="Calibri" w:hAnsi="Calibri"/>
          <w:b/>
          <w:bCs/>
          <w:color w:val="0E3A4F"/>
          <w:sz w:val="40"/>
          <w:szCs w:val="40"/>
        </w:rPr>
        <w:t xml:space="preserve">Builder Studio &amp; Knowledge Nuggets</w:t>
      </w:r>
    </w:p>
    <w:p>
      <w:pPr>
        <w:pBdr>
          <w:bottom w:val="single" w:color="1B6B7C" w:sz="12" w:space="8"/>
        </w:pBdr>
        <w:spacing w:after="200"/>
      </w:pPr>
      <w:r>
        <w:rPr>
          <w:rFonts w:ascii="Calibri" w:cs="Calibri" w:eastAsia="Calibri" w:hAnsi="Calibri"/>
          <w:i/>
          <w:iCs/>
          <w:color w:val="5A6B73"/>
          <w:sz w:val="21"/>
          <w:szCs w:val="21"/>
        </w:rPr>
        <w:t xml:space="preserve">Capability transfer — so that on Day 91 we can change it ourselves.</w:t>
      </w:r>
    </w:p>
    <w:p>
      <w:pPr>
        <w:pBdr>
          <w:bottom w:val="single" w:color="C9D6DC" w:sz="6" w:space="6"/>
        </w:pBdr>
        <w:spacing w:after="140" w:before="280"/>
      </w:pPr>
      <w:r>
        <w:rPr>
          <w:rFonts w:ascii="Calibri" w:cs="Calibri" w:eastAsia="Calibri" w:hAnsi="Calibri"/>
          <w:b/>
          <w:bCs/>
          <w:color w:val="1B6B7C"/>
          <w:spacing w:val="20"/>
          <w:sz w:val="20"/>
          <w:szCs w:val="20"/>
        </w:rPr>
        <w:t xml:space="preserve">PURPOSE</w:t>
      </w:r>
    </w:p>
    <w:p>
      <w:pPr>
        <w:spacing w:after="120" w:line="276"/>
      </w:pPr>
      <w:r>
        <w:rPr>
          <w:rFonts w:ascii="Calibri" w:cs="Calibri" w:eastAsia="Calibri" w:hAnsi="Calibri"/>
          <w:color w:val="1A1A1A"/>
          <w:sz w:val="21"/>
          <w:szCs w:val="21"/>
        </w:rPr>
        <w:t xml:space="preserve">To ensure the studio leaves behind capability rather than dependency. At Day 91 the organisation should be able to tune Jazz, diagnose its failures, and extend its use without JazzX in the room for routine work. This document defines what our team must be able to do, how they get there, and how that is verified rather than assumed.</w:t>
      </w:r>
    </w:p>
    <w:p>
      <w:pPr>
        <w:pBdr>
          <w:bottom w:val="single" w:color="C9D6DC" w:sz="6" w:space="6"/>
        </w:pBdr>
        <w:spacing w:after="140" w:before="280"/>
      </w:pPr>
      <w:r>
        <w:rPr>
          <w:rFonts w:ascii="Calibri" w:cs="Calibri" w:eastAsia="Calibri" w:hAnsi="Calibri"/>
          <w:b/>
          <w:bCs/>
          <w:color w:val="1B6B7C"/>
          <w:spacing w:val="20"/>
          <w:sz w:val="20"/>
          <w:szCs w:val="20"/>
        </w:rPr>
        <w:t xml:space="preserve">OWNER &amp; RACI</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744"/>
        <w:gridCol w:w="2434"/>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(fill in at G0)</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 / A / C / I</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owns capability transfer as a deliverable</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JazzX engagement lead</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delivers enablement per the SOW</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participants</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the people who must be able to do it</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HR / Learning</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captures skills into role definitions</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lead</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owns technical self-sufficiency</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DECISIONS THIS DOCUMENT MAKES</w:t>
      </w:r>
    </w:p>
    <w:p>
      <w:pPr>
        <w:pStyle w:val="ListParagraph"/>
        <w:numPr>
          <w:ilvl w:val="0"/>
          <w:numId w:val="2"/>
        </w:numPr>
        <w:spacing w:after="80" w:line="276"/>
      </w:pPr>
      <w:r>
        <w:rPr>
          <w:rFonts w:ascii="Calibri" w:cs="Calibri" w:eastAsia="Calibri" w:hAnsi="Calibri"/>
          <w:color w:val="1A1A1A"/>
          <w:sz w:val="21"/>
          <w:szCs w:val="21"/>
        </w:rPr>
        <w:t xml:space="preserve">Capability transfer is a </w:t>
      </w:r>
      <w:r>
        <w:rPr>
          <w:rFonts w:ascii="Calibri" w:cs="Calibri" w:eastAsia="Calibri" w:hAnsi="Calibri"/>
          <w:b/>
          <w:bCs/>
          <w:color w:val="1A1A1A"/>
          <w:sz w:val="21"/>
          <w:szCs w:val="21"/>
        </w:rPr>
        <w:t xml:space="preserve">tracked deliverable with a Gate 4 assessment</w:t>
      </w:r>
      <w:r>
        <w:rPr>
          <w:rFonts w:ascii="Calibri" w:cs="Calibri" w:eastAsia="Calibri" w:hAnsi="Calibri"/>
          <w:color w:val="1A1A1A"/>
          <w:sz w:val="21"/>
          <w:szCs w:val="21"/>
        </w:rPr>
        <w:t xml:space="preserve">, not a hoped-for side effect of working together.</w:t>
      </w:r>
    </w:p>
    <w:p>
      <w:pPr>
        <w:pStyle w:val="ListParagraph"/>
        <w:numPr>
          <w:ilvl w:val="0"/>
          <w:numId w:val="2"/>
        </w:numPr>
        <w:spacing w:after="80" w:line="276"/>
      </w:pPr>
      <w:r>
        <w:rPr>
          <w:rFonts w:ascii="Calibri" w:cs="Calibri" w:eastAsia="Calibri" w:hAnsi="Calibri"/>
          <w:b/>
          <w:bCs/>
          <w:color w:val="1A1A1A"/>
          <w:sz w:val="21"/>
          <w:szCs w:val="21"/>
        </w:rPr>
        <w:t xml:space="preserve">Builder Studio access from Day 30</w:t>
      </w:r>
      <w:r>
        <w:rPr>
          <w:rFonts w:ascii="Calibri" w:cs="Calibri" w:eastAsia="Calibri" w:hAnsi="Calibri"/>
          <w:color w:val="1A1A1A"/>
          <w:sz w:val="21"/>
          <w:szCs w:val="21"/>
        </w:rPr>
        <w:t xml:space="preserve"> for at least three named people, including at least one underwriter — not only technical staff.</w:t>
      </w:r>
    </w:p>
    <w:p>
      <w:pPr>
        <w:pStyle w:val="ListParagraph"/>
        <w:numPr>
          <w:ilvl w:val="0"/>
          <w:numId w:val="2"/>
        </w:numPr>
        <w:spacing w:after="80" w:line="276"/>
      </w:pPr>
      <w:r>
        <w:rPr>
          <w:rFonts w:ascii="Calibri" w:cs="Calibri" w:eastAsia="Calibri" w:hAnsi="Calibri"/>
          <w:color w:val="1A1A1A"/>
          <w:sz w:val="21"/>
          <w:szCs w:val="21"/>
        </w:rPr>
        <w:t xml:space="preserve">Competence is demonstrated by an </w:t>
      </w:r>
      <w:r>
        <w:rPr>
          <w:rFonts w:ascii="Calibri" w:cs="Calibri" w:eastAsia="Calibri" w:hAnsi="Calibri"/>
          <w:b/>
          <w:bCs/>
          <w:color w:val="1A1A1A"/>
          <w:sz w:val="21"/>
          <w:szCs w:val="21"/>
        </w:rPr>
        <w:t xml:space="preserve">unassisted change</w:t>
      </w:r>
      <w:r>
        <w:rPr>
          <w:rFonts w:ascii="Calibri" w:cs="Calibri" w:eastAsia="Calibri" w:hAnsi="Calibri"/>
          <w:color w:val="1A1A1A"/>
          <w:sz w:val="21"/>
          <w:szCs w:val="21"/>
        </w:rPr>
        <w:t xml:space="preserve">, not by course completion. Attendance is not capability.</w:t>
      </w:r>
    </w:p>
    <w:p>
      <w:pPr>
        <w:pStyle w:val="ListParagraph"/>
        <w:numPr>
          <w:ilvl w:val="0"/>
          <w:numId w:val="2"/>
        </w:numPr>
        <w:spacing w:after="80" w:line="276"/>
      </w:pPr>
      <w:r>
        <w:rPr>
          <w:rFonts w:ascii="Calibri" w:cs="Calibri" w:eastAsia="Calibri" w:hAnsi="Calibri"/>
          <w:color w:val="1A1A1A"/>
          <w:sz w:val="21"/>
          <w:szCs w:val="21"/>
        </w:rPr>
        <w:t xml:space="preserve">Knowledge is captured in </w:t>
      </w:r>
      <w:r>
        <w:rPr>
          <w:rFonts w:ascii="Calibri" w:cs="Calibri" w:eastAsia="Calibri" w:hAnsi="Calibri"/>
          <w:b/>
          <w:bCs/>
          <w:color w:val="1A1A1A"/>
          <w:sz w:val="21"/>
          <w:szCs w:val="21"/>
        </w:rPr>
        <w:t xml:space="preserve">our</w:t>
      </w:r>
      <w:r>
        <w:rPr>
          <w:rFonts w:ascii="Calibri" w:cs="Calibri" w:eastAsia="Calibri" w:hAnsi="Calibri"/>
          <w:color w:val="1A1A1A"/>
          <w:sz w:val="21"/>
          <w:szCs w:val="21"/>
        </w:rPr>
        <w:t xml:space="preserve"> documentation, in our language, not left in vendor materials we do not control.</w:t>
      </w:r>
    </w:p>
    <w:p>
      <w:pPr>
        <w:pStyle w:val="ListParagraph"/>
        <w:numPr>
          <w:ilvl w:val="0"/>
          <w:numId w:val="2"/>
        </w:numPr>
        <w:spacing w:after="80" w:line="276"/>
      </w:pPr>
      <w:r>
        <w:rPr>
          <w:rFonts w:ascii="Calibri" w:cs="Calibri" w:eastAsia="Calibri" w:hAnsi="Calibri"/>
          <w:color w:val="1A1A1A"/>
          <w:sz w:val="21"/>
          <w:szCs w:val="21"/>
        </w:rPr>
        <w:t xml:space="preserve">At least </w:t>
      </w:r>
      <w:r>
        <w:rPr>
          <w:rFonts w:ascii="Calibri" w:cs="Calibri" w:eastAsia="Calibri" w:hAnsi="Calibri"/>
          <w:b/>
          <w:bCs/>
          <w:color w:val="1A1A1A"/>
          <w:sz w:val="21"/>
          <w:szCs w:val="21"/>
        </w:rPr>
        <w:t xml:space="preserve">two people can perform every critical task.</w:t>
      </w:r>
      <w:r>
        <w:rPr>
          <w:rFonts w:ascii="Calibri" w:cs="Calibri" w:eastAsia="Calibri" w:hAnsi="Calibri"/>
          <w:color w:val="1A1A1A"/>
          <w:sz w:val="21"/>
          <w:szCs w:val="21"/>
        </w:rPr>
        <w:t xml:space="preserve"> A single trained individual is a dependency, not a capability.</w:t>
      </w:r>
    </w:p>
    <w:p>
      <w:pPr>
        <w:pBdr>
          <w:bottom w:val="single" w:color="C9D6DC" w:sz="6" w:space="6"/>
        </w:pBdr>
        <w:spacing w:after="140" w:before="280"/>
      </w:pPr>
      <w:r>
        <w:rPr>
          <w:rFonts w:ascii="Calibri" w:cs="Calibri" w:eastAsia="Calibri" w:hAnsi="Calibri"/>
          <w:b/>
          <w:bCs/>
          <w:color w:val="1B6B7C"/>
          <w:spacing w:val="20"/>
          <w:sz w:val="20"/>
          <w:szCs w:val="20"/>
        </w:rPr>
        <w:t xml:space="preserve">THE FRAMEWORK</w:t>
      </w:r>
    </w:p>
    <w:p>
      <w:pPr>
        <w:spacing w:after="80" w:before="200"/>
      </w:pPr>
      <w:r>
        <w:rPr>
          <w:rFonts w:ascii="Calibri" w:cs="Calibri" w:eastAsia="Calibri" w:hAnsi="Calibri"/>
          <w:b/>
          <w:bCs/>
          <w:color w:val="0E3A4F"/>
          <w:sz w:val="22"/>
          <w:szCs w:val="22"/>
        </w:rPr>
        <w:t xml:space="preserve">Target capability by Day 90</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369"/>
        <w:gridCol w:w="2620"/>
        <w:gridCol w:w="3371"/>
      </w:tblGrid>
      <w:tr>
        <w:trPr>
          <w:tblHeader/>
        </w:trPr>
        <w:tc>
          <w:tcPr>
            <w:tcW w:type="dxa" w:w="336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Capability</w:t>
            </w:r>
          </w:p>
        </w:tc>
        <w:tc>
          <w:tcPr>
            <w:tcW w:type="dxa" w:w="262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must have it</w:t>
            </w:r>
          </w:p>
        </w:tc>
        <w:tc>
          <w:tcPr>
            <w:tcW w:type="dxa" w:w="337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Verified by</w:t>
            </w:r>
          </w:p>
        </w:tc>
      </w:tr>
      <w:tr>
        <w:tc>
          <w:tcPr>
            <w:tcW w:type="dxa" w:w="336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Diagnose why an output was wrong</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All studio participants</w:t>
            </w:r>
          </w:p>
        </w:tc>
        <w:tc>
          <w:tcPr>
            <w:tcW w:type="dxa" w:w="337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Correctly root-causes 3 unseen cases</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Make a document recognition change</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Analyst + one processor</w:t>
            </w:r>
          </w:p>
        </w:tc>
        <w:tc>
          <w:tcPr>
            <w:tcW w:type="dxa" w:w="337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Ships an unassisted change</w:t>
            </w:r>
          </w:p>
        </w:tc>
      </w:tr>
      <w:tr>
        <w:tc>
          <w:tcPr>
            <w:tcW w:type="dxa" w:w="336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Adjust an extraction mapping</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Analyst + IT</w:t>
            </w:r>
          </w:p>
        </w:tc>
        <w:tc>
          <w:tcPr>
            <w:tcW w:type="dxa" w:w="337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Ships an unassisted change</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Refine a prompt</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 + senior underwriter</w:t>
            </w:r>
          </w:p>
        </w:tc>
        <w:tc>
          <w:tcPr>
            <w:tcW w:type="dxa" w:w="337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Ships an unassisted change with regression pass</w:t>
            </w:r>
          </w:p>
        </w:tc>
      </w:tr>
      <w:tr>
        <w:tc>
          <w:tcPr>
            <w:tcW w:type="dxa" w:w="336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Run the regression set</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analyst</w:t>
            </w:r>
          </w:p>
        </w:tc>
        <w:tc>
          <w:tcPr>
            <w:tcW w:type="dxa" w:w="337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Runs unassisted and interprets the result</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Interpret accuracy metrics</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Analyst + Studio Lead</w:t>
            </w:r>
          </w:p>
        </w:tc>
        <w:tc>
          <w:tcPr>
            <w:tcW w:type="dxa" w:w="337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Explains a trend unaided to Steering</w:t>
            </w:r>
          </w:p>
        </w:tc>
      </w:tr>
      <w:tr>
        <w:tc>
          <w:tcPr>
            <w:tcW w:type="dxa" w:w="336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Escalate correctly to JazzX</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37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Two escalations handled cleanly</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Train a new user</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One participant</w:t>
            </w:r>
          </w:p>
        </w:tc>
        <w:tc>
          <w:tcPr>
            <w:tcW w:type="dxa" w:w="337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Onboards someone from outside the studio</w:t>
            </w:r>
          </w:p>
        </w:tc>
      </w:tr>
    </w:tbl>
    <w:p>
      <w:pPr>
        <w:spacing w:after="160"/>
      </w:pPr>
    </w:p>
    <w:p>
      <w:pPr>
        <w:spacing w:after="80" w:before="200"/>
      </w:pPr>
      <w:r>
        <w:rPr>
          <w:rFonts w:ascii="Calibri" w:cs="Calibri" w:eastAsia="Calibri" w:hAnsi="Calibri"/>
          <w:b/>
          <w:bCs/>
          <w:color w:val="0E3A4F"/>
          <w:sz w:val="22"/>
          <w:szCs w:val="22"/>
        </w:rPr>
        <w:t xml:space="preserve">The enablement ladder</w:t>
      </w:r>
    </w:p>
    <w:p>
      <w:pPr>
        <w:pStyle w:val="ListParagraph"/>
        <w:numPr>
          <w:ilvl w:val="0"/>
          <w:numId w:val="2"/>
        </w:numPr>
        <w:spacing w:after="80" w:line="276"/>
      </w:pPr>
      <w:r>
        <w:rPr>
          <w:rFonts w:ascii="Calibri" w:cs="Calibri" w:eastAsia="Calibri" w:hAnsi="Calibri"/>
          <w:b/>
          <w:bCs/>
          <w:color w:val="1A1A1A"/>
          <w:sz w:val="21"/>
          <w:szCs w:val="21"/>
        </w:rPr>
        <w:t xml:space="preserve">Days 1–15 — Watch.</w:t>
      </w:r>
      <w:r>
        <w:rPr>
          <w:rFonts w:ascii="Calibri" w:cs="Calibri" w:eastAsia="Calibri" w:hAnsi="Calibri"/>
          <w:color w:val="1A1A1A"/>
          <w:sz w:val="21"/>
          <w:szCs w:val="21"/>
        </w:rPr>
        <w:t xml:space="preserve"> Participants observe JazzX making changes and ask questions. No expectation of independence.</w:t>
      </w:r>
    </w:p>
    <w:p>
      <w:pPr>
        <w:pStyle w:val="ListParagraph"/>
        <w:numPr>
          <w:ilvl w:val="0"/>
          <w:numId w:val="2"/>
        </w:numPr>
        <w:spacing w:after="80" w:line="276"/>
      </w:pPr>
      <w:r>
        <w:rPr>
          <w:rFonts w:ascii="Calibri" w:cs="Calibri" w:eastAsia="Calibri" w:hAnsi="Calibri"/>
          <w:b/>
          <w:bCs/>
          <w:color w:val="1A1A1A"/>
          <w:sz w:val="21"/>
          <w:szCs w:val="21"/>
        </w:rPr>
        <w:t xml:space="preserve">Days 16–30 — Specify.</w:t>
      </w:r>
      <w:r>
        <w:rPr>
          <w:rFonts w:ascii="Calibri" w:cs="Calibri" w:eastAsia="Calibri" w:hAnsi="Calibri"/>
          <w:color w:val="1A1A1A"/>
          <w:sz w:val="21"/>
          <w:szCs w:val="21"/>
        </w:rPr>
        <w:t xml:space="preserve"> Our team writes the change specification; JazzX implements. This builds precision of thought before mechanics.</w:t>
      </w:r>
    </w:p>
    <w:p>
      <w:pPr>
        <w:pStyle w:val="ListParagraph"/>
        <w:numPr>
          <w:ilvl w:val="0"/>
          <w:numId w:val="2"/>
        </w:numPr>
        <w:spacing w:after="80" w:line="276"/>
      </w:pPr>
      <w:r>
        <w:rPr>
          <w:rFonts w:ascii="Calibri" w:cs="Calibri" w:eastAsia="Calibri" w:hAnsi="Calibri"/>
          <w:b/>
          <w:bCs/>
          <w:color w:val="1A1A1A"/>
          <w:sz w:val="21"/>
          <w:szCs w:val="21"/>
        </w:rPr>
        <w:t xml:space="preserve">Days 31–45 — Pair.</w:t>
      </w:r>
      <w:r>
        <w:rPr>
          <w:rFonts w:ascii="Calibri" w:cs="Calibri" w:eastAsia="Calibri" w:hAnsi="Calibri"/>
          <w:color w:val="1A1A1A"/>
          <w:sz w:val="21"/>
          <w:szCs w:val="21"/>
        </w:rPr>
        <w:t xml:space="preserve"> Our team drives with JazzX alongside. Builder Studio access is live.</w:t>
      </w:r>
    </w:p>
    <w:p>
      <w:pPr>
        <w:pStyle w:val="ListParagraph"/>
        <w:numPr>
          <w:ilvl w:val="0"/>
          <w:numId w:val="2"/>
        </w:numPr>
        <w:spacing w:after="80" w:line="276"/>
      </w:pPr>
      <w:r>
        <w:rPr>
          <w:rFonts w:ascii="Calibri" w:cs="Calibri" w:eastAsia="Calibri" w:hAnsi="Calibri"/>
          <w:b/>
          <w:bCs/>
          <w:color w:val="1A1A1A"/>
          <w:sz w:val="21"/>
          <w:szCs w:val="21"/>
        </w:rPr>
        <w:t xml:space="preserve">Days 46–70 — Do.</w:t>
      </w:r>
      <w:r>
        <w:rPr>
          <w:rFonts w:ascii="Calibri" w:cs="Calibri" w:eastAsia="Calibri" w:hAnsi="Calibri"/>
          <w:color w:val="1A1A1A"/>
          <w:sz w:val="21"/>
          <w:szCs w:val="21"/>
        </w:rPr>
        <w:t xml:space="preserve"> Our team implements; JazzX reviews. Every change is ours.</w:t>
      </w:r>
    </w:p>
    <w:p>
      <w:pPr>
        <w:pStyle w:val="ListParagraph"/>
        <w:numPr>
          <w:ilvl w:val="0"/>
          <w:numId w:val="2"/>
        </w:numPr>
        <w:spacing w:after="80" w:line="276"/>
      </w:pPr>
      <w:r>
        <w:rPr>
          <w:rFonts w:ascii="Calibri" w:cs="Calibri" w:eastAsia="Calibri" w:hAnsi="Calibri"/>
          <w:b/>
          <w:bCs/>
          <w:color w:val="1A1A1A"/>
          <w:sz w:val="21"/>
          <w:szCs w:val="21"/>
        </w:rPr>
        <w:t xml:space="preserve">Days 71–90 — Own.</w:t>
      </w:r>
      <w:r>
        <w:rPr>
          <w:rFonts w:ascii="Calibri" w:cs="Calibri" w:eastAsia="Calibri" w:hAnsi="Calibri"/>
          <w:color w:val="1A1A1A"/>
          <w:sz w:val="21"/>
          <w:szCs w:val="21"/>
        </w:rPr>
        <w:t xml:space="preserve"> JazzX on escalation only. Independence assessed formally at Day 85.</w:t>
      </w:r>
    </w:p>
    <w:p>
      <w:pPr>
        <w:spacing w:after="80" w:before="200"/>
      </w:pPr>
      <w:r>
        <w:rPr>
          <w:rFonts w:ascii="Calibri" w:cs="Calibri" w:eastAsia="Calibri" w:hAnsi="Calibri"/>
          <w:b/>
          <w:bCs/>
          <w:color w:val="0E3A4F"/>
          <w:sz w:val="22"/>
          <w:szCs w:val="22"/>
        </w:rPr>
        <w:t xml:space="preserve">Knowledge Nuggets — capture as you go</w:t>
      </w:r>
    </w:p>
    <w:p>
      <w:pPr>
        <w:spacing w:after="120" w:line="276"/>
      </w:pPr>
      <w:r>
        <w:rPr>
          <w:rFonts w:ascii="Calibri" w:cs="Calibri" w:eastAsia="Calibri" w:hAnsi="Calibri"/>
          <w:color w:val="1A1A1A"/>
          <w:sz w:val="21"/>
          <w:szCs w:val="21"/>
        </w:rPr>
        <w:t xml:space="preserve">Small, specific, reusable pieces of knowledge, written the day they are learned. Not a manual written at Day 88 — a running set of short entries that answer a real question someone had.</w:t>
      </w:r>
    </w:p>
    <w:p>
      <w:pPr>
        <w:pStyle w:val="ListParagraph"/>
        <w:numPr>
          <w:ilvl w:val="0"/>
          <w:numId w:val="3"/>
        </w:numPr>
        <w:spacing w:after="80" w:line="276"/>
      </w:pPr>
      <w:r>
        <w:rPr>
          <w:rFonts w:ascii="Calibri" w:cs="Calibri" w:eastAsia="Calibri" w:hAnsi="Calibri"/>
          <w:color w:val="1A1A1A"/>
          <w:sz w:val="21"/>
          <w:szCs w:val="21"/>
        </w:rPr>
        <w:t xml:space="preserve">One nugget per learning: what the situation was, what we tried, what worked, what to do next time</w:t>
      </w:r>
    </w:p>
    <w:p>
      <w:pPr>
        <w:pStyle w:val="ListParagraph"/>
        <w:numPr>
          <w:ilvl w:val="0"/>
          <w:numId w:val="3"/>
        </w:numPr>
        <w:spacing w:after="80" w:line="276"/>
      </w:pPr>
      <w:r>
        <w:rPr>
          <w:rFonts w:ascii="Calibri" w:cs="Calibri" w:eastAsia="Calibri" w:hAnsi="Calibri"/>
          <w:color w:val="1A1A1A"/>
          <w:sz w:val="21"/>
          <w:szCs w:val="21"/>
        </w:rPr>
        <w:t xml:space="preserve">Written by the person who learned it, in plain underwriting or operations language</w:t>
      </w:r>
    </w:p>
    <w:p>
      <w:pPr>
        <w:pStyle w:val="ListParagraph"/>
        <w:numPr>
          <w:ilvl w:val="0"/>
          <w:numId w:val="3"/>
        </w:numPr>
        <w:spacing w:after="80" w:line="276"/>
      </w:pPr>
      <w:r>
        <w:rPr>
          <w:rFonts w:ascii="Calibri" w:cs="Calibri" w:eastAsia="Calibri" w:hAnsi="Calibri"/>
          <w:color w:val="1A1A1A"/>
          <w:sz w:val="21"/>
          <w:szCs w:val="21"/>
        </w:rPr>
        <w:t xml:space="preserve">Stored in </w:t>
      </w:r>
      <w:r>
        <w:rPr>
          <w:rFonts w:ascii="Calibri" w:cs="Calibri" w:eastAsia="Calibri" w:hAnsi="Calibri"/>
          <w:b/>
          <w:bCs/>
          <w:color w:val="1A1A1A"/>
          <w:sz w:val="21"/>
          <w:szCs w:val="21"/>
        </w:rPr>
        <w:t xml:space="preserve">our</w:t>
      </w:r>
      <w:r>
        <w:rPr>
          <w:rFonts w:ascii="Calibri" w:cs="Calibri" w:eastAsia="Calibri" w:hAnsi="Calibri"/>
          <w:color w:val="1A1A1A"/>
          <w:sz w:val="21"/>
          <w:szCs w:val="21"/>
        </w:rPr>
        <w:t xml:space="preserve"> knowledge base, not the vendor's, so it survives the relationship</w:t>
      </w:r>
    </w:p>
    <w:p>
      <w:pPr>
        <w:pStyle w:val="ListParagraph"/>
        <w:numPr>
          <w:ilvl w:val="0"/>
          <w:numId w:val="3"/>
        </w:numPr>
        <w:spacing w:after="80" w:line="276"/>
      </w:pPr>
      <w:r>
        <w:rPr>
          <w:rFonts w:ascii="Calibri" w:cs="Calibri" w:eastAsia="Calibri" w:hAnsi="Calibri"/>
          <w:color w:val="1A1A1A"/>
          <w:sz w:val="21"/>
          <w:szCs w:val="21"/>
        </w:rPr>
        <w:t xml:space="preserve">Reviewed briefly in the weekly loop and refined</w:t>
      </w:r>
    </w:p>
    <w:p>
      <w:pPr>
        <w:pStyle w:val="ListParagraph"/>
        <w:numPr>
          <w:ilvl w:val="0"/>
          <w:numId w:val="3"/>
        </w:numPr>
        <w:spacing w:after="80" w:line="276"/>
      </w:pPr>
      <w:r>
        <w:rPr>
          <w:rFonts w:ascii="Calibri" w:cs="Calibri" w:eastAsia="Calibri" w:hAnsi="Calibri"/>
          <w:color w:val="1A1A1A"/>
          <w:sz w:val="21"/>
          <w:szCs w:val="21"/>
        </w:rPr>
        <w:t xml:space="preserve">Target roughly 30–50 nuggets across 90 days — that is two or three a week, which is realistic</w:t>
      </w:r>
    </w:p>
    <w:p>
      <w:pPr>
        <w:pStyle w:val="ListParagraph"/>
        <w:numPr>
          <w:ilvl w:val="0"/>
          <w:numId w:val="3"/>
        </w:numPr>
        <w:spacing w:after="80" w:line="276"/>
      </w:pPr>
      <w:r>
        <w:rPr>
          <w:rFonts w:ascii="Calibri" w:cs="Calibri" w:eastAsia="Calibri" w:hAnsi="Calibri"/>
          <w:color w:val="1A1A1A"/>
          <w:sz w:val="21"/>
          <w:szCs w:val="21"/>
        </w:rPr>
        <w:t xml:space="preserve">Explicitly include the failures: what did not work is often the more valuable entry</w:t>
      </w:r>
    </w:p>
    <w:p>
      <w:pPr>
        <w:pBdr>
          <w:bottom w:val="single" w:color="C9D6DC" w:sz="6" w:space="6"/>
        </w:pBdr>
        <w:spacing w:after="140" w:before="280"/>
      </w:pPr>
      <w:r>
        <w:rPr>
          <w:rFonts w:ascii="Calibri" w:cs="Calibri" w:eastAsia="Calibri" w:hAnsi="Calibri"/>
          <w:b/>
          <w:bCs/>
          <w:color w:val="1B6B7C"/>
          <w:spacing w:val="20"/>
          <w:sz w:val="20"/>
          <w:szCs w:val="20"/>
        </w:rPr>
        <w:t xml:space="preserve">ARTIFACTS &amp; TEMPLATES</w:t>
      </w:r>
    </w:p>
    <w:p>
      <w:pPr>
        <w:spacing w:after="80" w:before="200"/>
      </w:pPr>
      <w:r>
        <w:rPr>
          <w:rFonts w:ascii="Calibri" w:cs="Calibri" w:eastAsia="Calibri" w:hAnsi="Calibri"/>
          <w:b/>
          <w:bCs/>
          <w:color w:val="0E3A4F"/>
          <w:sz w:val="22"/>
          <w:szCs w:val="22"/>
        </w:rPr>
        <w:t xml:space="preserve">Enablement plan — agreed with JazzX at G0</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3182"/>
        <w:gridCol w:w="1684"/>
        <w:gridCol w:w="1686"/>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Element</w:t>
            </w:r>
          </w:p>
        </w:tc>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Detail</w:t>
            </w:r>
          </w:p>
        </w:tc>
        <w:tc>
          <w:tcPr>
            <w:tcW w:type="dxa" w:w="168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By when</w:t>
            </w:r>
          </w:p>
        </w:tc>
        <w:tc>
          <w:tcPr>
            <w:tcW w:type="dxa" w:w="168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Confirmed</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Builder Studio access</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Named users, permission level</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Day 30</w:t>
            </w:r>
          </w:p>
        </w:tc>
        <w:tc>
          <w:tcPr>
            <w:tcW w:type="dxa" w:w="168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Structured training</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Sessions, format, audience</w:t>
            </w:r>
          </w:p>
        </w:tc>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Day 30</w:t>
            </w:r>
          </w:p>
        </w:tc>
        <w:tc>
          <w:tcPr>
            <w:tcW w:type="dxa" w:w="168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Pairing commitment</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Hours per week of named engineer time</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Day 31–45</w:t>
            </w:r>
          </w:p>
        </w:tc>
        <w:tc>
          <w:tcPr>
            <w:tcW w:type="dxa" w:w="168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Documentation handover</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What we receive and may retain</w:t>
            </w:r>
          </w:p>
        </w:tc>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Day 60</w:t>
            </w:r>
          </w:p>
        </w:tc>
        <w:tc>
          <w:tcPr>
            <w:tcW w:type="dxa" w:w="168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Escalation path</w:t>
            </w:r>
          </w:p>
        </w:tc>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Named contacts and response times</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Day 1</w:t>
            </w:r>
          </w:p>
        </w:tc>
        <w:tc>
          <w:tcPr>
            <w:tcW w:type="dxa" w:w="168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Independence assessment</w:t>
            </w:r>
          </w:p>
        </w:tc>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Joint review of our capability</w:t>
            </w:r>
          </w:p>
        </w:tc>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Day 85</w:t>
            </w:r>
          </w:p>
        </w:tc>
        <w:tc>
          <w:tcPr>
            <w:tcW w:type="dxa" w:w="168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before="80"/>
      </w:pPr>
      <w:r>
        <w:rPr>
          <w:rFonts w:ascii="Calibri" w:cs="Calibri" w:eastAsia="Calibri" w:hAnsi="Calibri"/>
          <w:i/>
          <w:iCs/>
          <w:color w:val="5A6B73"/>
          <w:sz w:val="18"/>
          <w:szCs w:val="18"/>
        </w:rPr>
        <w:t xml:space="preserve">Every row should be traceable to the SOW. Anything not in the SOW is a request, not a commitment.</w:t>
      </w:r>
    </w:p>
    <w:p>
      <w:pPr>
        <w:spacing w:after="80" w:before="200"/>
      </w:pPr>
      <w:r>
        <w:rPr>
          <w:rFonts w:ascii="Calibri" w:cs="Calibri" w:eastAsia="Calibri" w:hAnsi="Calibri"/>
          <w:b/>
          <w:bCs/>
          <w:color w:val="0E3A4F"/>
          <w:sz w:val="22"/>
          <w:szCs w:val="22"/>
        </w:rPr>
        <w:t xml:space="preserve">Day 85 independence assessment — the Gate 4 input</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931"/>
        <w:gridCol w:w="2246"/>
        <w:gridCol w:w="3183"/>
      </w:tblGrid>
      <w:tr>
        <w:trPr>
          <w:tblHeader/>
        </w:trPr>
        <w:tc>
          <w:tcPr>
            <w:tcW w:type="dxa" w:w="393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Question</w:t>
            </w:r>
          </w:p>
        </w:tc>
        <w:tc>
          <w:tcPr>
            <w:tcW w:type="dxa" w:w="224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Assessment</w:t>
            </w:r>
          </w:p>
        </w:tc>
        <w:tc>
          <w:tcPr>
            <w:tcW w:type="dxa" w:w="3183"/>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Evidence</w:t>
            </w:r>
          </w:p>
        </w:tc>
      </w:tr>
      <w:tr>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Can we make routine changes unassisted?</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18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Count of unassisted shipped changes</w:t>
            </w:r>
          </w:p>
        </w:tc>
      </w:tr>
      <w:tr>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Can we diagnose a failure unassisted?</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18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Unseen-case diagnosis result</w:t>
            </w:r>
          </w:p>
        </w:tc>
      </w:tr>
      <w:tr>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Can we measure whether a change worked?</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18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Analyst-run regression and effect measurement</w:t>
            </w:r>
          </w:p>
        </w:tc>
      </w:tr>
      <w:tr>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Is knowledge captured in our systems?</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18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Nugget count and quality review</w:t>
            </w:r>
          </w:p>
        </w:tc>
      </w:tr>
      <w:tr>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Is any capability held by only one person?</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18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Coverage matrix</w:t>
            </w:r>
          </w:p>
        </w:tc>
      </w:tr>
      <w:tr>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What still requires JazzX?</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18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Explicit dependency list, priced</w:t>
            </w:r>
          </w:p>
        </w:tc>
      </w:tr>
    </w:tbl>
    <w:p>
      <w:pPr>
        <w:spacing w:after="160" w:before="80"/>
      </w:pPr>
      <w:r>
        <w:rPr>
          <w:rFonts w:ascii="Calibri" w:cs="Calibri" w:eastAsia="Calibri" w:hAnsi="Calibri"/>
          <w:i/>
          <w:iCs/>
          <w:color w:val="5A6B73"/>
          <w:sz w:val="18"/>
          <w:szCs w:val="18"/>
        </w:rPr>
        <w:t xml:space="preserve">The last row belongs in the Gate 4 business case as an ongoing cost, whatever the decision.</w:t>
      </w:r>
    </w:p>
    <w:p>
      <w:pPr>
        <w:pBdr>
          <w:bottom w:val="single" w:color="C9D6DC" w:sz="6" w:space="6"/>
        </w:pBdr>
        <w:spacing w:after="140" w:before="280"/>
      </w:pPr>
      <w:r>
        <w:rPr>
          <w:rFonts w:ascii="Calibri" w:cs="Calibri" w:eastAsia="Calibri" w:hAnsi="Calibri"/>
          <w:b/>
          <w:bCs/>
          <w:color w:val="1B6B7C"/>
          <w:spacing w:val="20"/>
          <w:sz w:val="20"/>
          <w:szCs w:val="20"/>
        </w:rPr>
        <w:t xml:space="preserve">CADENCE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4492"/>
        <w:gridCol w:w="280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happens</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Nuggets reviewed and added in the feedback loop</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Growing knowledge base</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Pairing or independent-change session with JazzX</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Skills progression</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Day 30</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Builder Studio access live; structured training complete</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Access confirmed</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Day 45</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Mid-point capability check against the ladder</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Gap plan</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Day 85</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Formal independence assessment</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Gate 4 input</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Day 90</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Knowledge base finalised and owned internally</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Retained capability</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DEFINITION OF DONE</w:t>
      </w:r>
    </w:p>
    <w:p>
      <w:pPr>
        <w:pStyle w:val="ListParagraph"/>
        <w:numPr>
          <w:ilvl w:val="0"/>
          <w:numId w:val="3"/>
        </w:numPr>
        <w:spacing w:after="80" w:line="276"/>
      </w:pPr>
      <w:r>
        <w:rPr>
          <w:rFonts w:ascii="Calibri" w:cs="Calibri" w:eastAsia="Calibri" w:hAnsi="Calibri"/>
          <w:color w:val="1A1A1A"/>
          <w:sz w:val="21"/>
          <w:szCs w:val="21"/>
        </w:rPr>
        <w:t xml:space="preserve">At least three named people with Builder Studio access from Day 30, including an underwriter</w:t>
      </w:r>
    </w:p>
    <w:p>
      <w:pPr>
        <w:pStyle w:val="ListParagraph"/>
        <w:numPr>
          <w:ilvl w:val="0"/>
          <w:numId w:val="3"/>
        </w:numPr>
        <w:spacing w:after="80" w:line="276"/>
      </w:pPr>
      <w:r>
        <w:rPr>
          <w:rFonts w:ascii="Calibri" w:cs="Calibri" w:eastAsia="Calibri" w:hAnsi="Calibri"/>
          <w:color w:val="1A1A1A"/>
          <w:sz w:val="21"/>
          <w:szCs w:val="21"/>
        </w:rPr>
        <w:t xml:space="preserve">Every critical capability held by at least two people</w:t>
      </w:r>
    </w:p>
    <w:p>
      <w:pPr>
        <w:pStyle w:val="ListParagraph"/>
        <w:numPr>
          <w:ilvl w:val="0"/>
          <w:numId w:val="3"/>
        </w:numPr>
        <w:spacing w:after="80" w:line="276"/>
      </w:pPr>
      <w:r>
        <w:rPr>
          <w:rFonts w:ascii="Calibri" w:cs="Calibri" w:eastAsia="Calibri" w:hAnsi="Calibri"/>
          <w:color w:val="1A1A1A"/>
          <w:sz w:val="21"/>
          <w:szCs w:val="21"/>
        </w:rPr>
        <w:t xml:space="preserve">Independence demonstrated by unassisted changes, not by training attendance</w:t>
      </w:r>
    </w:p>
    <w:p>
      <w:pPr>
        <w:pStyle w:val="ListParagraph"/>
        <w:numPr>
          <w:ilvl w:val="0"/>
          <w:numId w:val="3"/>
        </w:numPr>
        <w:spacing w:after="80" w:line="276"/>
      </w:pPr>
      <w:r>
        <w:rPr>
          <w:rFonts w:ascii="Calibri" w:cs="Calibri" w:eastAsia="Calibri" w:hAnsi="Calibri"/>
          <w:color w:val="1A1A1A"/>
          <w:sz w:val="21"/>
          <w:szCs w:val="21"/>
        </w:rPr>
        <w:t xml:space="preserve">30–50 Knowledge Nuggets captured in our own systems, including failures</w:t>
      </w:r>
    </w:p>
    <w:p>
      <w:pPr>
        <w:pStyle w:val="ListParagraph"/>
        <w:numPr>
          <w:ilvl w:val="0"/>
          <w:numId w:val="3"/>
        </w:numPr>
        <w:spacing w:after="80" w:line="276"/>
      </w:pPr>
      <w:r>
        <w:rPr>
          <w:rFonts w:ascii="Calibri" w:cs="Calibri" w:eastAsia="Calibri" w:hAnsi="Calibri"/>
          <w:color w:val="1A1A1A"/>
          <w:sz w:val="21"/>
          <w:szCs w:val="21"/>
        </w:rPr>
        <w:t xml:space="preserve">Residual JazzX dependencies listed and priced in the Gate 4 business case</w:t>
      </w:r>
    </w:p>
    <w:p>
      <w:pPr>
        <w:pBdr>
          <w:bottom w:val="single" w:color="C9D6DC" w:sz="6" w:space="6"/>
        </w:pBdr>
        <w:spacing w:after="140" w:before="280"/>
      </w:pPr>
      <w:r>
        <w:rPr>
          <w:rFonts w:ascii="Calibri" w:cs="Calibri" w:eastAsia="Calibri" w:hAnsi="Calibri"/>
          <w:b/>
          <w:bCs/>
          <w:color w:val="1B6B7C"/>
          <w:spacing w:val="20"/>
          <w:sz w:val="20"/>
          <w:szCs w:val="20"/>
        </w:rPr>
        <w:t xml:space="preserve">RISKS &amp; ESCALATION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4212"/>
        <w:gridCol w:w="2340"/>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42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Mitigation</w:t>
            </w:r>
          </w:p>
        </w:tc>
        <w:tc>
          <w:tcPr>
            <w:tcW w:type="dxa" w:w="234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Escalates to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Enablement slips because delivery is more urgent than teaching</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Contracted in the SOW; capability is a Gate 4 assessed deliverable, not a nice-to-have</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Only technical staff are enabled, so underwriting cannot tune</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At least one underwriter has Builder Studio access from Day 30</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Knowledge stays in vendor systems we do not control</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Nuggets stored in our knowledge base from day one</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One person becomes the single point of knowledge</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Two-person coverage required per capability; coverage matrix reviewed at Day 45</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Training attendance mistaken for capability</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Assessed by unassisted change and unseen-case diagnosis only</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Enabled participants leave after the studio</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Retention and next-step conversation before Day 90; knowledge captured in writing regardless</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C" w:sz="4" w:space="6"/>
      </w:pBdr>
    </w:pPr>
    <w:r>
      <w:rPr>
        <w:rFonts w:ascii="Calibri" w:cs="Calibri" w:eastAsia="Calibri" w:hAnsi="Calibri"/>
        <w:color w:val="5A6B73"/>
        <w:sz w:val="16"/>
        <w:szCs w:val="16"/>
      </w:rPr>
      <w:t xml:space="preserve">JazzX Design Studio — 90-Day Framework  │  Builder Studio &amp; Knowledge Nuggets   </w:t>
    </w:r>
    <w:r>
      <w:rPr>
        <w:rFonts w:ascii="Calibri" w:cs="Calibri" w:eastAsia="Calibri" w:hAnsi="Calibri"/>
        <w:color w:val="5A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B6B7C"/>
        <w:sz w:val="21"/>
        <w:szCs w:val="21"/>
      </w:rPr>
    </w:lvl>
    <w:lvl w:ilvl="1" w15:tentative="1">
      <w:start w:val="1"/>
      <w:numFmt w:val="bullet"/>
      <w:lvlText w:val="○"/>
      <w:lvlJc w:val="left"/>
      <w:pPr>
        <w:ind w:left="763" w:hanging="259"/>
      </w:pPr>
      <w:rPr>
        <w:color w:val="5A6B73"/>
        <w:sz w:val="21"/>
        <w:szCs w:val="21"/>
      </w:rPr>
    </w:lvl>
    <w:lvl w:ilvl="2" w15:tentative="1">
      <w:start w:val="1"/>
      <w:numFmt w:val="bullet"/>
      <w:lvlText w:val="▪"/>
      <w:lvlJc w:val="left"/>
      <w:pPr>
        <w:ind w:left="1123" w:hanging="259"/>
      </w:pPr>
      <w:rPr>
        <w:color w:val="5A6B73"/>
        <w:sz w:val="21"/>
        <w:szCs w:val="21"/>
      </w:rPr>
    </w:lvl>
  </w:abstractNum>
  <w:abstractNum w:abstractNumId="3" w15:restartNumberingAfterBreak="0">
    <w:multiLevelType w:val="hybridMultilevel"/>
    <w:lvl w:ilvl="0" w15:tentative="1">
      <w:start w:val="1"/>
      <w:numFmt w:val="decimal"/>
      <w:lvlText w:val="%1."/>
      <w:lvlJc w:val="left"/>
      <w:pPr>
        <w:ind w:left="460" w:hanging="316"/>
      </w:pPr>
      <w:rPr>
        <w:b/>
        <w:bCs/>
        <w:color w:val="1B6B7C"/>
        <w:sz w:val="21"/>
        <w:szCs w:val="21"/>
      </w:rPr>
    </w:lvl>
    <w:lvl w:ilvl="1" w15:tentative="1">
      <w:start w:val="1"/>
      <w:numFmt w:val="lowerLetter"/>
      <w:lvlText w:val="%2."/>
      <w:lvlJc w:val="left"/>
      <w:pPr>
        <w:ind w:left="835" w:hanging="316"/>
      </w:pPr>
      <w:rPr>
        <w:color w:val="5A6B73"/>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Builder Studio &amp; Knowledge Nuggets</dc:title>
  <dc:creator>Design Studio Program Office</dc:creator>
  <dc:description>Capability transfer — so that on Day 91 we can change it ourselves.</dc:description>
  <cp:lastModifiedBy>Un-named</cp:lastModifiedBy>
  <cp:revision>1</cp:revision>
  <dcterms:created xsi:type="dcterms:W3CDTF">2026-08-03T23:55:14.990Z</dcterms:created>
  <dcterms:modified xsi:type="dcterms:W3CDTF">2026-08-03T23:55:14.990Z</dcterms:modified>
</cp:coreProperties>
</file>

<file path=docProps/custom.xml><?xml version="1.0" encoding="utf-8"?>
<Properties xmlns="http://schemas.openxmlformats.org/officeDocument/2006/custom-properties" xmlns:vt="http://schemas.openxmlformats.org/officeDocument/2006/docPropsVTypes"/>
</file>