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3E8FA3"/>
          <w:spacing w:val="30"/>
          <w:sz w:val="17"/>
          <w:szCs w:val="17"/>
        </w:rPr>
        <w:t xml:space="preserve">LOGISTICS — PRODUCTION READINESS  │  ONE-PAGER 02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3A4F"/>
          <w:sz w:val="40"/>
          <w:szCs w:val="40"/>
        </w:rPr>
        <w:t xml:space="preserve">Governance Structure</w:t>
      </w:r>
    </w:p>
    <w:p>
      <w:pPr>
        <w:pBdr>
          <w:bottom w:val="single" w:color="1B6B7C" w:sz="12" w:space="8"/>
        </w:pBdr>
        <w:spacing w:after="200"/>
      </w:pPr>
      <w:r>
        <w:rPr>
          <w:rFonts w:ascii="Calibri" w:cs="Calibri" w:eastAsia="Calibri" w:hAnsi="Calibri"/>
          <w:i/>
          <w:iCs/>
          <w:color w:val="5A6B73"/>
          <w:sz w:val="21"/>
          <w:szCs w:val="21"/>
        </w:rPr>
        <w:t xml:space="preserve">Who decides what, how fast, and who can stop the program.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 establish the decision-making body for the Design Studio before it is needed, so that questions of authority are settled in advance rather than negotiated in the middle of a live issue. Governance here has two jobs: move ordinary decisions quickly enough that the studio does not stall, and ensure the decisions that carry regulatory or borrower risk are made by people accountable for them.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OWNER &amp; RACI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182"/>
        <w:gridCol w:w="3744"/>
        <w:gridCol w:w="2434"/>
      </w:tblGrid>
      <w:tr>
        <w:trPr>
          <w:tblHeader/>
        </w:trPr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4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(fill in at G0)</w:t>
            </w:r>
          </w:p>
        </w:tc>
        <w:tc>
          <w:tcPr>
            <w:tcW w:type="dxa" w:w="243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 / A / C / I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Executive Sponsor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chairs Steering, owns go / no-go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Design Studio Lead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chairs Working Group, runs escalation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Model Risk / Validation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standing member, holds a block right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Compliance / Legal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standing member, holds a block right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Information Security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consulted at G0 and on any data-scope change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Third-Party Risk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owns the vendor relationship record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JazzX Engagement Lead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attends Working Group, not Steering votes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DECISIONS THIS DOCUMENT MAKES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Governance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three-tier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a Steering Committee that decides at gates, a Working Group that decides weekly, and Control Functions that advise continuously and can block.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Control functions hold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block right, not a vote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They cannot direct the studio, but Compliance or Model Risk can prevent a gate from advancing, and that block is recorded in writing with its remediation condition.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Any decision not explicitly reserved to Steering is delegated to the Working Group.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Silence delegates downward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so the studio never waits for permission that no one was required to give.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Jazz is entered into the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model inventory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at G0 and tiered before shadow processing begins, regardless of whether it is classified as a model or a tool.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JazzX attends the Working Group as a delivery partner but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not present for gate votes or for any discussion of vendor viability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THE FRAMEWORK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The three tiers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1872"/>
        <w:gridCol w:w="2620"/>
        <w:gridCol w:w="1310"/>
        <w:gridCol w:w="3558"/>
      </w:tblGrid>
      <w:tr>
        <w:trPr>
          <w:tblHeader/>
        </w:trPr>
        <w:tc>
          <w:tcPr>
            <w:tcW w:type="dxa" w:w="187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  <w:tc>
          <w:tcPr>
            <w:tcW w:type="dxa" w:w="262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Members</w:t>
            </w:r>
          </w:p>
        </w:tc>
        <w:tc>
          <w:tcPr>
            <w:tcW w:type="dxa" w:w="131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Meets</w:t>
            </w:r>
          </w:p>
        </w:tc>
        <w:tc>
          <w:tcPr>
            <w:tcW w:type="dxa" w:w="355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Decides</w:t>
            </w:r>
          </w:p>
        </w:tc>
      </w:tr>
      <w:tr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Steering Committee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Exec Sponsor (chair)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Head of UW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Head of Ops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CRO or delegate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Finance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Biweekly + every gate</w:t>
            </w:r>
          </w:p>
        </w:tc>
        <w:tc>
          <w:tcPr>
            <w:tcW w:type="dxa" w:w="35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Gate outcomes (Advance / Extend / Stop)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Scope changes that move Day 90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Budget beyond approved SOW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Authorisation to run live on real borrowers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G4 go / no-go</w:t>
            </w:r>
          </w:p>
        </w:tc>
      </w:tr>
      <w:tr>
        <w:tc>
          <w:tcPr>
            <w:tcW w:type="dxa" w:w="187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Design Studio Working Group</w:t>
            </w:r>
          </w:p>
        </w:tc>
        <w:tc>
          <w:tcPr>
            <w:tcW w:type="dxa" w:w="262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 (chair)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Lead underwriter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Lead processor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Data/IT analyst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JazzX engagement lead</w:t>
            </w:r>
          </w:p>
        </w:tc>
        <w:tc>
          <w:tcPr>
            <w:tcW w:type="dxa" w:w="131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Weekly</w:t>
            </w:r>
          </w:p>
        </w:tc>
        <w:tc>
          <w:tcPr>
            <w:tcW w:type="dxa" w:w="355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Tuning priorities and the tuning backlog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Process adjustments inside the studio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Which loans enter the studio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Defect severity classification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Everything not reserved above</w:t>
            </w:r>
          </w:p>
        </w:tc>
      </w:tr>
      <w:tr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Control Functions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Model Risk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Compliance / Legal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InfoSec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Third-Party Risk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QC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At gates + on call</w:t>
            </w:r>
          </w:p>
        </w:tc>
        <w:tc>
          <w:tcPr>
            <w:tcW w:type="dxa" w:w="35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Whether a control is adequate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Whether a gate may advance (block right)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Whether a data scope change is permitted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Adverse-action and disclosure posture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Decision rights — what does not need to escalate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most common way a studio stalls is that everything feels like it needs the sponsor. This matrix is the antidote: if a decision appears in the Working Group column, it is made in the weekly meeting and recorded, full stop.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744"/>
        <w:gridCol w:w="2246"/>
        <w:gridCol w:w="3370"/>
      </w:tblGrid>
      <w:tr>
        <w:trPr>
          <w:tblHeader/>
        </w:trPr>
        <w:tc>
          <w:tcPr>
            <w:tcW w:type="dxa" w:w="374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24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Made by</w:t>
            </w:r>
          </w:p>
        </w:tc>
        <w:tc>
          <w:tcPr>
            <w:tcW w:type="dxa" w:w="337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Escalates only if</w:t>
            </w:r>
          </w:p>
        </w:tc>
      </w:tr>
      <w:tr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Change a prompt, condition rule or document template</w:t>
            </w:r>
          </w:p>
        </w:tc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Working Group</w:t>
            </w:r>
          </w:p>
        </w:tc>
        <w:tc>
          <w:tcPr>
            <w:tcW w:type="dxa" w:w="33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changes what is disclosed to a borrower</w:t>
            </w:r>
          </w:p>
        </w:tc>
      </w:tr>
      <w:tr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Add or remove a loan from the studio cohort</w:t>
            </w:r>
          </w:p>
        </w:tc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  <w:tc>
          <w:tcPr>
            <w:tcW w:type="dxa" w:w="337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changes the agreed slice definition</w:t>
            </w:r>
          </w:p>
        </w:tc>
      </w:tr>
      <w:tr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Reclassify a defect severity</w:t>
            </w:r>
          </w:p>
        </w:tc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Working Group</w:t>
            </w:r>
          </w:p>
        </w:tc>
        <w:tc>
          <w:tcPr>
            <w:tcW w:type="dxa" w:w="33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Severity 1 — automatic Steering notification</w:t>
            </w:r>
          </w:p>
        </w:tc>
      </w:tr>
      <w:tr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Adjust the weekly operating rhythm</w:t>
            </w:r>
          </w:p>
        </w:tc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  <w:tc>
          <w:tcPr>
            <w:tcW w:type="dxa" w:w="337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Never</w:t>
            </w:r>
          </w:p>
        </w:tc>
      </w:tr>
      <w:tr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Change a baseline metric definition</w:t>
            </w:r>
          </w:p>
        </w:tc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Steering</w:t>
            </w:r>
          </w:p>
        </w:tc>
        <w:tc>
          <w:tcPr>
            <w:tcW w:type="dxa" w:w="33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Always — after G1 lock, effectively never</w:t>
            </w:r>
          </w:p>
        </w:tc>
      </w:tr>
      <w:tr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Expand the data set sent to JazzX</w:t>
            </w:r>
          </w:p>
        </w:tc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InfoSec + Steering</w:t>
            </w:r>
          </w:p>
        </w:tc>
        <w:tc>
          <w:tcPr>
            <w:tcW w:type="dxa" w:w="337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Always</w:t>
            </w:r>
          </w:p>
        </w:tc>
      </w:tr>
      <w:tr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Move a loan from shadow to live handling</w:t>
            </w:r>
          </w:p>
        </w:tc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Steering</w:t>
            </w:r>
          </w:p>
        </w:tc>
        <w:tc>
          <w:tcPr>
            <w:tcW w:type="dxa" w:w="33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Always — this is the G2 authorisation</w:t>
            </w:r>
          </w:p>
        </w:tc>
      </w:tr>
      <w:tr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Pause the studio</w:t>
            </w:r>
          </w:p>
        </w:tc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Any control function</w:t>
            </w:r>
          </w:p>
        </w:tc>
        <w:tc>
          <w:tcPr>
            <w:tcW w:type="dxa" w:w="337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Immediate; Steering convenes within 24 hours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Model risk and third-party risk fit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Jazz is a third-party AI system that influences credit decisions. Whether or not it meets your institution's formal definition of a model, treat it as one for the duration of the studio — the cost of doing so is a week of documentation, and the cost of not doing so is discovering at G4 that the evidence is not admissible to your own risk committee.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Inventory entry at G0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Jazz recorded with owner, purpose, tier, and the decisions it influences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Tiering before shadow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 tier drives validation depth; a system touching credit decisions is rarely low tier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Validation approach agreed at G0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what evidence Model Risk will require at G2 and G4, specified in advance so the studio collects it as it goes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Explainability requirement stated up front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if a Jazz output contributes to a denial, the reason must be articulable in adverse-action terms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Third-party record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SOC 2 or equivalent, data flows, subprocessors, exit provisions and data-return terms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Human-in-the-loop control documented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 studio's core control through Day 80 is that a qualified human makes every decision; this must be a documented control, not an informal habit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If you do not have a model risk function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Smaller lenders often will not. Do not skip the discipline — compress it. Appoint a named individual (typically the credit policy owner) as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accountable reviewer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and require three artifacts before G2: a written description of what Jazz does and does not decide, a test result set against known-outcome loans, and a documented fallback procedure for when Jazz is unavailable or wrong. That is the minimum defensible package.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ARTIFACTS &amp; TEMPLATES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Escalation ladder and response times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1310"/>
        <w:gridCol w:w="3744"/>
        <w:gridCol w:w="2059"/>
        <w:gridCol w:w="2247"/>
      </w:tblGrid>
      <w:tr>
        <w:trPr>
          <w:tblHeader/>
        </w:trPr>
        <w:tc>
          <w:tcPr>
            <w:tcW w:type="dxa" w:w="131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74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05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247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Sev 1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Borrower harmed or potentially harmed; regulatory exposure; data incident</w:t>
            </w:r>
          </w:p>
        </w:tc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 → Sponsor + Compliance immediately</w:t>
            </w:r>
          </w:p>
        </w:tc>
        <w:tc>
          <w:tcPr>
            <w:tcW w:type="dxa" w:w="22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pauses by default; Steering within 24h</w:t>
            </w:r>
          </w:p>
        </w:tc>
      </w:tr>
      <w:tr>
        <w:tc>
          <w:tcPr>
            <w:tcW w:type="dxa" w:w="131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Sev 2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Systematic quality failure; Jazz materially wrong on a class of loans</w:t>
            </w:r>
          </w:p>
        </w:tc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 → Working Group + Model Risk</w:t>
            </w:r>
          </w:p>
        </w:tc>
        <w:tc>
          <w:tcPr>
            <w:tcW w:type="dxa" w:w="224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Triage within 1 business day</w:t>
            </w:r>
          </w:p>
        </w:tc>
      </w:tr>
      <w:tr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Sev 3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Isolated error, tuning issue, process friction</w:t>
            </w:r>
          </w:p>
        </w:tc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Working Group backlog</w:t>
            </w:r>
          </w:p>
        </w:tc>
        <w:tc>
          <w:tcPr>
            <w:tcW w:type="dxa" w:w="22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Next weekly cycle</w:t>
            </w:r>
          </w:p>
        </w:tc>
      </w:tr>
      <w:tr>
        <w:tc>
          <w:tcPr>
            <w:tcW w:type="dxa" w:w="131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Sev 4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Enhancement request or observation</w:t>
            </w:r>
          </w:p>
        </w:tc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Improvement log</w:t>
            </w:r>
          </w:p>
        </w:tc>
        <w:tc>
          <w:tcPr>
            <w:tcW w:type="dxa" w:w="224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Reviewed at gate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Charter — to be completed and signed at G0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556"/>
        <w:gridCol w:w="5804"/>
      </w:tblGrid>
      <w:tr>
        <w:trPr>
          <w:tblHeader/>
        </w:trPr>
        <w:tc>
          <w:tcPr>
            <w:tcW w:type="dxa" w:w="355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80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 fill in</w:t>
            </w:r>
          </w:p>
        </w:tc>
      </w:tr>
      <w:tr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Steering quorum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Sponsor + one control function + Studio Lead (suggested minimum)</w:t>
            </w:r>
          </w:p>
        </w:tc>
      </w:tr>
      <w:tr>
        <w:tc>
          <w:tcPr>
            <w:tcW w:type="dxa" w:w="355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Working Group quorum</w:t>
            </w:r>
          </w:p>
        </w:tc>
        <w:tc>
          <w:tcPr>
            <w:tcW w:type="dxa" w:w="580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 + lead underwriter (suggested minimum)</w:t>
            </w:r>
          </w:p>
        </w:tc>
      </w:tr>
      <w:tr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Decision record location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5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Standing block-right holders</w:t>
            </w:r>
          </w:p>
        </w:tc>
        <w:tc>
          <w:tcPr>
            <w:tcW w:type="dxa" w:w="580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Sponsor delegate when unavailable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5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pause authority</w:t>
            </w:r>
          </w:p>
        </w:tc>
        <w:tc>
          <w:tcPr>
            <w:tcW w:type="dxa" w:w="580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Charter review date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CADENCE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059"/>
        <w:gridCol w:w="4492"/>
        <w:gridCol w:w="2809"/>
      </w:tblGrid>
      <w:tr>
        <w:trPr>
          <w:tblHeader/>
        </w:trPr>
        <w:tc>
          <w:tcPr>
            <w:tcW w:type="dxa" w:w="205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449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80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Weekly, Thu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Working Group — tuning, blockers, defect triage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Decision log, tuning backlog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Biweekly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Steering — gate trajectory, risks, decisions reserved to Steering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Decision record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At each gate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Gate review with control functions present and evidence circulated 48h ahead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Advance / Extend / Stop, recorded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On Sev 1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Emergency Steering within 24 hours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Pause / resume determination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Day 45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Governance health check — is anything routinely escalating that should be delegated?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Charter amendment if needed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Charter signed by the Executive Sponsor before Day 1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Named individuals in every governance seat, with named delegates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Jazz entered in the model inventory and tiered before the first shadow loan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Decision rights matrix published to the studio team and visibly used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gate outcome recorded in writing, including any dissent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RISKS &amp; ESCALATION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808"/>
        <w:gridCol w:w="4212"/>
        <w:gridCol w:w="2340"/>
      </w:tblGrid>
      <w:tr>
        <w:trPr>
          <w:tblHeader/>
        </w:trPr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21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34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Escalates to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Governance becomes a reporting ritual rather than a decision body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Every meeting must produce at least one recorded decision or be cancelled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Executive Sponsor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Control functions engage only at G2 and block late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Standing membership from Day 0; validation evidence requirements stated at G0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CRO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Vendor is in the room for decisions about the vendor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JazzX excluded from gate votes and viability discussion by charter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Sponsor unavailable and decisions queue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Named delegate with full authority; decisions do not wait for a calendar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Steering Committee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Jazz classified as "just a tool" to avoid model governance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Classification decision documented and reviewed by Model Risk at G0, not assumed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CRO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C" w:sz="4" w:space="6"/>
      </w:pBdr>
    </w:pPr>
    <w:r>
      <w:rPr>
        <w:rFonts w:ascii="Calibri" w:cs="Calibri" w:eastAsia="Calibri" w:hAnsi="Calibri"/>
        <w:color w:val="5A6B73"/>
        <w:sz w:val="16"/>
        <w:szCs w:val="16"/>
      </w:rPr>
      <w:t xml:space="preserve">JazzX Design Studio — 90-Day Framework  │  Governance Structure   </w:t>
    </w:r>
    <w:r>
      <w:rPr>
        <w:rFonts w:ascii="Calibri" w:cs="Calibri" w:eastAsia="Calibri" w:hAnsi="Calibri"/>
        <w:color w:val="5A6B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59"/>
      </w:pPr>
      <w:rPr>
        <w:color w:val="1B6B7C"/>
        <w:sz w:val="21"/>
        <w:szCs w:val="21"/>
      </w:rPr>
    </w:lvl>
    <w:lvl w:ilvl="1" w15:tentative="1">
      <w:start w:val="1"/>
      <w:numFmt w:val="bullet"/>
      <w:lvlText w:val="○"/>
      <w:lvlJc w:val="left"/>
      <w:pPr>
        <w:ind w:left="763" w:hanging="259"/>
      </w:pPr>
      <w:rPr>
        <w:color w:val="5A6B73"/>
        <w:sz w:val="21"/>
        <w:szCs w:val="21"/>
      </w:rPr>
    </w:lvl>
    <w:lvl w:ilvl="2" w15:tentative="1">
      <w:start w:val="1"/>
      <w:numFmt w:val="bullet"/>
      <w:lvlText w:val="▪"/>
      <w:lvlJc w:val="left"/>
      <w:pPr>
        <w:ind w:left="1123" w:hanging="259"/>
      </w:pPr>
      <w:rPr>
        <w:color w:val="5A6B73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  <w:rPr>
        <w:b/>
        <w:bCs/>
        <w:color w:val="1B6B7C"/>
        <w:sz w:val="21"/>
        <w:szCs w:val="21"/>
      </w:rPr>
    </w:lvl>
    <w:lvl w:ilvl="1" w15:tentative="1">
      <w:start w:val="1"/>
      <w:numFmt w:val="lowerLetter"/>
      <w:lvlText w:val="%2."/>
      <w:lvlJc w:val="left"/>
      <w:pPr>
        <w:ind w:left="835" w:hanging="316"/>
      </w:pPr>
      <w:rPr>
        <w:color w:val="5A6B7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Governance Structure</dc:title>
  <dc:creator>Design Studio Program Office</dc:creator>
  <dc:description>Who decides what, how fast, and who can stop the program.</dc:description>
  <cp:lastModifiedBy>Un-named</cp:lastModifiedBy>
  <cp:revision>1</cp:revision>
  <dcterms:created xsi:type="dcterms:W3CDTF">2026-08-04T00:29:14.229Z</dcterms:created>
  <dcterms:modified xsi:type="dcterms:W3CDTF">2026-08-04T00:29:14.229Z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