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LOGISTICS — PRODUCTION READINESS  │  ONE-PAGER 03</w:t>
      </w:r>
    </w:p>
    <w:p>
      <w:pPr>
        <w:spacing w:after="60"/>
      </w:pPr>
      <w:r>
        <w:rPr>
          <w:rFonts w:ascii="Calibri" w:cs="Calibri" w:eastAsia="Calibri" w:hAnsi="Calibri"/>
          <w:b/>
          <w:bCs/>
          <w:color w:val="0E3A4F"/>
          <w:sz w:val="40"/>
          <w:szCs w:val="40"/>
        </w:rPr>
        <w:t xml:space="preserve">Borrower &amp; Internal Communications</w:t>
      </w:r>
    </w:p>
    <w:p>
      <w:pPr>
        <w:pBdr>
          <w:bottom w:val="single" w:color="1B6B7C" w:sz="12" w:space="8"/>
        </w:pBdr>
        <w:spacing w:after="200"/>
      </w:pPr>
      <w:r>
        <w:rPr>
          <w:rFonts w:ascii="Calibri" w:cs="Calibri" w:eastAsia="Calibri" w:hAnsi="Calibri"/>
          <w:i/>
          <w:iCs/>
          <w:color w:val="5A6B73"/>
          <w:sz w:val="21"/>
          <w:szCs w:val="21"/>
        </w:rPr>
        <w:t xml:space="preserve">What we say, to whom, at which phase — and what we never say.</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control the narrative for two audiences whose reactions determine whether the studio survives: borrowers, whose trust and regulatory protections are engaged the moment AI touches a real decision, and staff, whose cooperation the studio depends on and whose fears will be filled by rumor if not filled by us. This document sets the posture for each phase and provides the actual language.</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owns the plan and its execution</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 Legal</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approves all borrower-facing language</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Marketing / Communications</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drafts and distributes</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HR</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owns the employment-impact narrative</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delivers internal messages to the front line</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owns external and press posture</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color w:val="1A1A1A"/>
          <w:sz w:val="21"/>
          <w:szCs w:val="21"/>
        </w:rPr>
        <w:t xml:space="preserve">During </w:t>
      </w:r>
      <w:r>
        <w:rPr>
          <w:rFonts w:ascii="Calibri" w:cs="Calibri" w:eastAsia="Calibri" w:hAnsi="Calibri"/>
          <w:b/>
          <w:bCs/>
          <w:color w:val="1A1A1A"/>
          <w:sz w:val="21"/>
          <w:szCs w:val="21"/>
        </w:rPr>
        <w:t xml:space="preserve">shadow (Days 1–60) there is no change to the borrower experience</w:t>
      </w:r>
      <w:r>
        <w:rPr>
          <w:rFonts w:ascii="Calibri" w:cs="Calibri" w:eastAsia="Calibri" w:hAnsi="Calibri"/>
          <w:color w:val="1A1A1A"/>
          <w:sz w:val="21"/>
          <w:szCs w:val="21"/>
        </w:rPr>
        <w:t xml:space="preserve">, no borrower-facing disclosure is triggered, and no borrower is told anything different. The loan is decided by a human exactly as before.</w:t>
      </w:r>
    </w:p>
    <w:p>
      <w:pPr>
        <w:pStyle w:val="ListParagraph"/>
        <w:numPr>
          <w:ilvl w:val="0"/>
          <w:numId w:val="2"/>
        </w:numPr>
        <w:spacing w:after="80" w:line="276"/>
      </w:pPr>
      <w:r>
        <w:rPr>
          <w:rFonts w:ascii="Calibri" w:cs="Calibri" w:eastAsia="Calibri" w:hAnsi="Calibri"/>
          <w:color w:val="1A1A1A"/>
          <w:sz w:val="21"/>
          <w:szCs w:val="21"/>
        </w:rPr>
        <w:t xml:space="preserve">At </w:t>
      </w:r>
      <w:r>
        <w:rPr>
          <w:rFonts w:ascii="Calibri" w:cs="Calibri" w:eastAsia="Calibri" w:hAnsi="Calibri"/>
          <w:b/>
          <w:bCs/>
          <w:color w:val="1A1A1A"/>
          <w:sz w:val="21"/>
          <w:szCs w:val="21"/>
        </w:rPr>
        <w:t xml:space="preserve">limited live (Day 61) borrower-facing posture activates</w:t>
      </w:r>
      <w:r>
        <w:rPr>
          <w:rFonts w:ascii="Calibri" w:cs="Calibri" w:eastAsia="Calibri" w:hAnsi="Calibri"/>
          <w:color w:val="1A1A1A"/>
          <w:sz w:val="21"/>
          <w:szCs w:val="21"/>
        </w:rPr>
        <w:t xml:space="preserve">, and the disclosure decision is made by Compliance at G2 — not by the studio and not by marketing.</w:t>
      </w:r>
    </w:p>
    <w:p>
      <w:pPr>
        <w:pStyle w:val="ListParagraph"/>
        <w:numPr>
          <w:ilvl w:val="0"/>
          <w:numId w:val="2"/>
        </w:numPr>
        <w:spacing w:after="80" w:line="276"/>
      </w:pPr>
      <w:r>
        <w:rPr>
          <w:rFonts w:ascii="Calibri" w:cs="Calibri" w:eastAsia="Calibri" w:hAnsi="Calibri"/>
          <w:color w:val="1A1A1A"/>
          <w:sz w:val="21"/>
          <w:szCs w:val="21"/>
        </w:rPr>
        <w:t xml:space="preserve">Internal communication begins </w:t>
      </w:r>
      <w:r>
        <w:rPr>
          <w:rFonts w:ascii="Calibri" w:cs="Calibri" w:eastAsia="Calibri" w:hAnsi="Calibri"/>
          <w:b/>
          <w:bCs/>
          <w:color w:val="1A1A1A"/>
          <w:sz w:val="21"/>
          <w:szCs w:val="21"/>
        </w:rPr>
        <w:t xml:space="preserve">before</w:t>
      </w:r>
      <w:r>
        <w:rPr>
          <w:rFonts w:ascii="Calibri" w:cs="Calibri" w:eastAsia="Calibri" w:hAnsi="Calibri"/>
          <w:color w:val="1A1A1A"/>
          <w:sz w:val="21"/>
          <w:szCs w:val="21"/>
        </w:rPr>
        <w:t xml:space="preserve"> external, and begins </w:t>
      </w:r>
      <w:r>
        <w:rPr>
          <w:rFonts w:ascii="Calibri" w:cs="Calibri" w:eastAsia="Calibri" w:hAnsi="Calibri"/>
          <w:b/>
          <w:bCs/>
          <w:color w:val="1A1A1A"/>
          <w:sz w:val="21"/>
          <w:szCs w:val="21"/>
        </w:rPr>
        <w:t xml:space="preserve">before Day 1</w:t>
      </w:r>
      <w:r>
        <w:rPr>
          <w:rFonts w:ascii="Calibri" w:cs="Calibri" w:eastAsia="Calibri" w:hAnsi="Calibri"/>
          <w:color w:val="1A1A1A"/>
          <w:sz w:val="21"/>
          <w:szCs w:val="21"/>
        </w:rPr>
        <w:t xml:space="preserve">. Staff learn about this from their leadership, not from a vendor logo on a screen.</w:t>
      </w:r>
    </w:p>
    <w:p>
      <w:pPr>
        <w:pStyle w:val="ListParagraph"/>
        <w:numPr>
          <w:ilvl w:val="0"/>
          <w:numId w:val="2"/>
        </w:numPr>
        <w:spacing w:after="80" w:line="276"/>
      </w:pPr>
      <w:r>
        <w:rPr>
          <w:rFonts w:ascii="Calibri" w:cs="Calibri" w:eastAsia="Calibri" w:hAnsi="Calibri"/>
          <w:color w:val="1A1A1A"/>
          <w:sz w:val="21"/>
          <w:szCs w:val="21"/>
        </w:rPr>
        <w:t xml:space="preserve">The employment question is answered </w:t>
      </w:r>
      <w:r>
        <w:rPr>
          <w:rFonts w:ascii="Calibri" w:cs="Calibri" w:eastAsia="Calibri" w:hAnsi="Calibri"/>
          <w:b/>
          <w:bCs/>
          <w:color w:val="1A1A1A"/>
          <w:sz w:val="21"/>
          <w:szCs w:val="21"/>
        </w:rPr>
        <w:t xml:space="preserve">explicitly and early</w:t>
      </w:r>
      <w:r>
        <w:rPr>
          <w:rFonts w:ascii="Calibri" w:cs="Calibri" w:eastAsia="Calibri" w:hAnsi="Calibri"/>
          <w:color w:val="1A1A1A"/>
          <w:sz w:val="21"/>
          <w:szCs w:val="21"/>
        </w:rPr>
        <w:t xml:space="preserve">. We state the 90-day commitment on headcount in writing rather than allowing the absence of a statement to be read as a threat.</w:t>
      </w:r>
    </w:p>
    <w:p>
      <w:pPr>
        <w:pStyle w:val="ListParagraph"/>
        <w:numPr>
          <w:ilvl w:val="0"/>
          <w:numId w:val="2"/>
        </w:numPr>
        <w:spacing w:after="80" w:line="276"/>
      </w:pPr>
      <w:r>
        <w:rPr>
          <w:rFonts w:ascii="Calibri" w:cs="Calibri" w:eastAsia="Calibri" w:hAnsi="Calibri"/>
          <w:color w:val="1A1A1A"/>
          <w:sz w:val="21"/>
          <w:szCs w:val="21"/>
        </w:rPr>
        <w:t xml:space="preserve">No press, no case study, no vendor co-marketing, and no LinkedIn posts about the studio before G4. This is contractual with JazzX, not a request.</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Borrower communications — the compliance spine</w:t>
      </w:r>
    </w:p>
    <w:p>
      <w:pPr>
        <w:spacing w:after="120" w:line="276"/>
      </w:pPr>
      <w:r>
        <w:rPr>
          <w:rFonts w:ascii="Calibri" w:cs="Calibri" w:eastAsia="Calibri" w:hAnsi="Calibri"/>
          <w:color w:val="1A1A1A"/>
          <w:sz w:val="21"/>
          <w:szCs w:val="21"/>
        </w:rPr>
        <w:t xml:space="preserve">The obligations below are the ones that most often surprise lenders adopting AI in origination. Compliance owns the final determination; the studio's job is to surface these early enough that the answer is not rushed at Day 58.</w:t>
      </w:r>
    </w:p>
    <w:p>
      <w:pPr>
        <w:pStyle w:val="ListParagraph"/>
        <w:numPr>
          <w:ilvl w:val="0"/>
          <w:numId w:val="3"/>
        </w:numPr>
        <w:spacing w:after="80" w:line="276"/>
      </w:pPr>
      <w:r>
        <w:rPr>
          <w:rFonts w:ascii="Calibri" w:cs="Calibri" w:eastAsia="Calibri" w:hAnsi="Calibri"/>
          <w:b/>
          <w:bCs/>
          <w:color w:val="1A1A1A"/>
          <w:sz w:val="21"/>
          <w:szCs w:val="21"/>
        </w:rPr>
        <w:t xml:space="preserve">Adverse action (ECOA / Reg B).</w:t>
      </w:r>
      <w:r>
        <w:rPr>
          <w:rFonts w:ascii="Calibri" w:cs="Calibri" w:eastAsia="Calibri" w:hAnsi="Calibri"/>
          <w:color w:val="1A1A1A"/>
          <w:sz w:val="21"/>
          <w:szCs w:val="21"/>
        </w:rPr>
        <w:t xml:space="preserve"> If a Jazz output contributes to a denial or a less-favourable term, the notice must state the specific principal reasons. "The model said so" is not a reason. Before any live denial can involve Jazz, the studio must demonstrate that Jazz's contribution can be expressed in adverse-action language.</w:t>
      </w:r>
    </w:p>
    <w:p>
      <w:pPr>
        <w:pStyle w:val="ListParagraph"/>
        <w:numPr>
          <w:ilvl w:val="0"/>
          <w:numId w:val="3"/>
        </w:numPr>
        <w:spacing w:after="80" w:line="276"/>
      </w:pPr>
      <w:r>
        <w:rPr>
          <w:rFonts w:ascii="Calibri" w:cs="Calibri" w:eastAsia="Calibri" w:hAnsi="Calibri"/>
          <w:b/>
          <w:bCs/>
          <w:color w:val="1A1A1A"/>
          <w:sz w:val="21"/>
          <w:szCs w:val="21"/>
        </w:rPr>
        <w:t xml:space="preserve">Fair lending.</w:t>
      </w:r>
      <w:r>
        <w:rPr>
          <w:rFonts w:ascii="Calibri" w:cs="Calibri" w:eastAsia="Calibri" w:hAnsi="Calibri"/>
          <w:color w:val="1A1A1A"/>
          <w:sz w:val="21"/>
          <w:szCs w:val="21"/>
        </w:rPr>
        <w:t xml:space="preserve"> Disparate impact is assessed on outcomes, not intent. The studio should be sampling live-phase outcomes by protected class from Day 61, not constructing the analysis at Day 88.</w:t>
      </w:r>
    </w:p>
    <w:p>
      <w:pPr>
        <w:pStyle w:val="ListParagraph"/>
        <w:numPr>
          <w:ilvl w:val="0"/>
          <w:numId w:val="3"/>
        </w:numPr>
        <w:spacing w:after="80" w:line="276"/>
      </w:pPr>
      <w:r>
        <w:rPr>
          <w:rFonts w:ascii="Calibri" w:cs="Calibri" w:eastAsia="Calibri" w:hAnsi="Calibri"/>
          <w:b/>
          <w:bCs/>
          <w:color w:val="1A1A1A"/>
          <w:sz w:val="21"/>
          <w:szCs w:val="21"/>
        </w:rPr>
        <w:t xml:space="preserve">UDAAP.</w:t>
      </w:r>
      <w:r>
        <w:rPr>
          <w:rFonts w:ascii="Calibri" w:cs="Calibri" w:eastAsia="Calibri" w:hAnsi="Calibri"/>
          <w:color w:val="1A1A1A"/>
          <w:sz w:val="21"/>
          <w:szCs w:val="21"/>
        </w:rPr>
        <w:t xml:space="preserve"> Any borrower-facing statement about speed or automation that the process does not reliably deliver is a potential unfair or deceptive practice. Avoid marketing the studio to borrowers entirely.</w:t>
      </w:r>
    </w:p>
    <w:p>
      <w:pPr>
        <w:pStyle w:val="ListParagraph"/>
        <w:numPr>
          <w:ilvl w:val="0"/>
          <w:numId w:val="3"/>
        </w:numPr>
        <w:spacing w:after="80" w:line="276"/>
      </w:pPr>
      <w:r>
        <w:rPr>
          <w:rFonts w:ascii="Calibri" w:cs="Calibri" w:eastAsia="Calibri" w:hAnsi="Calibri"/>
          <w:b/>
          <w:bCs/>
          <w:color w:val="1A1A1A"/>
          <w:sz w:val="21"/>
          <w:szCs w:val="21"/>
        </w:rPr>
        <w:t xml:space="preserve">State-level AI disclosure.</w:t>
      </w:r>
      <w:r>
        <w:rPr>
          <w:rFonts w:ascii="Calibri" w:cs="Calibri" w:eastAsia="Calibri" w:hAnsi="Calibri"/>
          <w:color w:val="1A1A1A"/>
          <w:sz w:val="21"/>
          <w:szCs w:val="21"/>
        </w:rPr>
        <w:t xml:space="preserve"> An expanding patchwork of state requirements around automated decision-making and consumer notice. Compliance confirms applicability for the states in the selected slice at G0, not at G2.</w:t>
      </w:r>
    </w:p>
    <w:p>
      <w:pPr>
        <w:pStyle w:val="ListParagraph"/>
        <w:numPr>
          <w:ilvl w:val="0"/>
          <w:numId w:val="3"/>
        </w:numPr>
        <w:spacing w:after="80" w:line="276"/>
      </w:pPr>
      <w:r>
        <w:rPr>
          <w:rFonts w:ascii="Calibri" w:cs="Calibri" w:eastAsia="Calibri" w:hAnsi="Calibri"/>
          <w:b/>
          <w:bCs/>
          <w:color w:val="1A1A1A"/>
          <w:sz w:val="21"/>
          <w:szCs w:val="21"/>
        </w:rPr>
        <w:t xml:space="preserve">Servicing and downstream.</w:t>
      </w:r>
      <w:r>
        <w:rPr>
          <w:rFonts w:ascii="Calibri" w:cs="Calibri" w:eastAsia="Calibri" w:hAnsi="Calibri"/>
          <w:color w:val="1A1A1A"/>
          <w:sz w:val="21"/>
          <w:szCs w:val="21"/>
        </w:rPr>
        <w:t xml:space="preserve"> Confirm nothing in the studio alters investor, MI, or agency representations for loans in the cohort.</w:t>
      </w:r>
    </w:p>
    <w:p>
      <w:pPr>
        <w:spacing w:after="80" w:before="200"/>
      </w:pPr>
      <w:r>
        <w:rPr>
          <w:rFonts w:ascii="Calibri" w:cs="Calibri" w:eastAsia="Calibri" w:hAnsi="Calibri"/>
          <w:b/>
          <w:bCs/>
          <w:color w:val="0E3A4F"/>
          <w:sz w:val="22"/>
          <w:szCs w:val="22"/>
        </w:rPr>
        <w:t xml:space="preserve">Internal communications — answer the real question</w:t>
      </w:r>
    </w:p>
    <w:p>
      <w:pPr>
        <w:spacing w:after="120" w:line="276"/>
      </w:pPr>
      <w:r>
        <w:rPr>
          <w:rFonts w:ascii="Calibri" w:cs="Calibri" w:eastAsia="Calibri" w:hAnsi="Calibri"/>
          <w:color w:val="1A1A1A"/>
          <w:sz w:val="21"/>
          <w:szCs w:val="21"/>
        </w:rPr>
        <w:t xml:space="preserve">Every underwriter and processor hears "AI pilot" and asks one question. If leadership does not answer it in the first message, the team answers it for themselves, and the answer they invent is always worse than the truth. Address it in the kickoff message, by name.</w:t>
      </w:r>
    </w:p>
    <w:p>
      <w:pPr>
        <w:pStyle w:val="ListParagraph"/>
        <w:numPr>
          <w:ilvl w:val="0"/>
          <w:numId w:val="3"/>
        </w:numPr>
        <w:spacing w:after="80" w:line="276"/>
      </w:pPr>
      <w:r>
        <w:rPr>
          <w:rFonts w:ascii="Calibri" w:cs="Calibri" w:eastAsia="Calibri" w:hAnsi="Calibri"/>
          <w:color w:val="1A1A1A"/>
          <w:sz w:val="21"/>
          <w:szCs w:val="21"/>
        </w:rPr>
        <w:t xml:space="preserve">State the headcount commitment for the 90 days plainly, and only commit to what is actually true</w:t>
      </w:r>
    </w:p>
    <w:p>
      <w:pPr>
        <w:pStyle w:val="ListParagraph"/>
        <w:numPr>
          <w:ilvl w:val="0"/>
          <w:numId w:val="3"/>
        </w:numPr>
        <w:spacing w:after="80" w:line="276"/>
      </w:pPr>
      <w:r>
        <w:rPr>
          <w:rFonts w:ascii="Calibri" w:cs="Calibri" w:eastAsia="Calibri" w:hAnsi="Calibri"/>
          <w:color w:val="1A1A1A"/>
          <w:sz w:val="21"/>
          <w:szCs w:val="21"/>
        </w:rPr>
        <w:t xml:space="preserve">Explain that shadow mode </w:t>
      </w:r>
      <w:r>
        <w:rPr>
          <w:rFonts w:ascii="Calibri" w:cs="Calibri" w:eastAsia="Calibri" w:hAnsi="Calibri"/>
          <w:b/>
          <w:bCs/>
          <w:color w:val="1A1A1A"/>
          <w:sz w:val="21"/>
          <w:szCs w:val="21"/>
        </w:rPr>
        <w:t xml:space="preserve">adds</w:t>
      </w:r>
      <w:r>
        <w:rPr>
          <w:rFonts w:ascii="Calibri" w:cs="Calibri" w:eastAsia="Calibri" w:hAnsi="Calibri"/>
          <w:color w:val="1A1A1A"/>
          <w:sz w:val="21"/>
          <w:szCs w:val="21"/>
        </w:rPr>
        <w:t xml:space="preserve"> work before it removes any, and say what capacity relief is being provided</w:t>
      </w:r>
    </w:p>
    <w:p>
      <w:pPr>
        <w:pStyle w:val="ListParagraph"/>
        <w:numPr>
          <w:ilvl w:val="0"/>
          <w:numId w:val="3"/>
        </w:numPr>
        <w:spacing w:after="80" w:line="276"/>
      </w:pPr>
      <w:r>
        <w:rPr>
          <w:rFonts w:ascii="Calibri" w:cs="Calibri" w:eastAsia="Calibri" w:hAnsi="Calibri"/>
          <w:color w:val="1A1A1A"/>
          <w:sz w:val="21"/>
          <w:szCs w:val="21"/>
        </w:rPr>
        <w:t xml:space="preserve">Be explicit that studio participants are not being evaluated on whether they agree with Jazz — dissent is the data we need</w:t>
      </w:r>
    </w:p>
    <w:p>
      <w:pPr>
        <w:pStyle w:val="ListParagraph"/>
        <w:numPr>
          <w:ilvl w:val="0"/>
          <w:numId w:val="3"/>
        </w:numPr>
        <w:spacing w:after="80" w:line="276"/>
      </w:pPr>
      <w:r>
        <w:rPr>
          <w:rFonts w:ascii="Calibri" w:cs="Calibri" w:eastAsia="Calibri" w:hAnsi="Calibri"/>
          <w:color w:val="1A1A1A"/>
          <w:sz w:val="21"/>
          <w:szCs w:val="21"/>
        </w:rPr>
        <w:t xml:space="preserve">Name the feedback channel and demonstrate in week one that it changes something</w:t>
      </w:r>
    </w:p>
    <w:p>
      <w:pPr>
        <w:pStyle w:val="ListParagraph"/>
        <w:numPr>
          <w:ilvl w:val="0"/>
          <w:numId w:val="3"/>
        </w:numPr>
        <w:spacing w:after="80" w:line="276"/>
      </w:pPr>
      <w:r>
        <w:rPr>
          <w:rFonts w:ascii="Calibri" w:cs="Calibri" w:eastAsia="Calibri" w:hAnsi="Calibri"/>
          <w:color w:val="1A1A1A"/>
          <w:sz w:val="21"/>
          <w:szCs w:val="21"/>
        </w:rPr>
        <w:t xml:space="preserve">Never describe the studio as "seeing if we still need underwriters." Even as a joke, it ends candid feedback permanently</w:t>
      </w:r>
    </w:p>
    <w:p>
      <w:pPr>
        <w:spacing w:after="80" w:before="200"/>
      </w:pPr>
      <w:r>
        <w:rPr>
          <w:rFonts w:ascii="Calibri" w:cs="Calibri" w:eastAsia="Calibri" w:hAnsi="Calibri"/>
          <w:b/>
          <w:bCs/>
          <w:color w:val="0E3A4F"/>
          <w:sz w:val="22"/>
          <w:szCs w:val="22"/>
        </w:rPr>
        <w:t xml:space="preserve">Message matrix</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1872"/>
        <w:gridCol w:w="1497"/>
        <w:gridCol w:w="3931"/>
        <w:gridCol w:w="2060"/>
      </w:tblGrid>
      <w:tr>
        <w:trPr>
          <w:tblHeader/>
        </w:trPr>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Audience</w:t>
            </w:r>
          </w:p>
        </w:tc>
        <w:tc>
          <w:tcPr>
            <w:tcW w:type="dxa" w:w="1497"/>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Phase</w:t>
            </w:r>
          </w:p>
        </w:tc>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Message</w:t>
            </w:r>
          </w:p>
        </w:tc>
        <w:tc>
          <w:tcPr>
            <w:tcW w:type="dxa" w:w="206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Channel / Owner</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Studio team</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Pre-Day 1</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What we are testing, why you, what changes for you, what does not, how to raise a problem</w:t>
            </w:r>
          </w:p>
        </w:tc>
        <w:tc>
          <w:tcPr>
            <w:tcW w:type="dxa" w:w="206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 person / Studio Lead</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Wider originations</w:t>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Week 1</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small team is testing an AI tool in parallel; no change to your work; here is where to ask</w:t>
            </w:r>
          </w:p>
        </w:tc>
        <w:tc>
          <w:tcPr>
            <w:tcW w:type="dxa" w:w="206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Team meeting / Head of UW</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All staff</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Week 1</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Brief, factual, includes the headcount statement</w:t>
            </w:r>
          </w:p>
        </w:tc>
        <w:tc>
          <w:tcPr>
            <w:tcW w:type="dxa" w:w="206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Email / Sponsor</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Studio team</w:t>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Weekly</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What we learned, what changed because you flagged it</w:t>
            </w:r>
          </w:p>
        </w:tc>
        <w:tc>
          <w:tcPr>
            <w:tcW w:type="dxa" w:w="206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Weekly loop / Studio Lead</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Loan officers</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Pre-Day 61</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Your loans in this slice now touch a new workflow; here is what to tell a borrower who asks</w:t>
            </w:r>
          </w:p>
        </w:tc>
        <w:tc>
          <w:tcPr>
            <w:tcW w:type="dxa" w:w="206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Briefing / Ops</w:t>
            </w:r>
          </w:p>
        </w:tc>
      </w:tr>
      <w:tr>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Borrowers</w:t>
            </w:r>
          </w:p>
        </w:tc>
        <w:tc>
          <w:tcPr>
            <w:tcW w:type="dxa" w:w="1497"/>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 61+</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Posture determined by Compliance at G2 — default is no proactive change</w:t>
            </w:r>
          </w:p>
        </w:tc>
        <w:tc>
          <w:tcPr>
            <w:tcW w:type="dxa" w:w="206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Per Compliance</w:t>
            </w:r>
          </w:p>
        </w:tc>
      </w:tr>
      <w:tr>
        <w:tc>
          <w:tcPr>
            <w:tcW w:type="dxa" w:w="1872"/>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All staff</w:t>
            </w:r>
          </w:p>
        </w:tc>
        <w:tc>
          <w:tcPr>
            <w:tcW w:type="dxa" w:w="1497"/>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Day 90+</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What we found and what happens next — including if the answer is no</w:t>
            </w:r>
          </w:p>
        </w:tc>
        <w:tc>
          <w:tcPr>
            <w:tcW w:type="dxa" w:w="206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Email / Sponsor</w:t>
            </w:r>
          </w:p>
        </w:tc>
      </w:tr>
    </w:tbl>
    <w:p>
      <w:pPr>
        <w:spacing w:after="160"/>
      </w:pP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Holding statements — agree the wording before you need it</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995"/>
        <w:gridCol w:w="6365"/>
      </w:tblGrid>
      <w:tr>
        <w:trPr>
          <w:tblHeader/>
        </w:trPr>
        <w:tc>
          <w:tcPr>
            <w:tcW w:type="dxa" w:w="299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Situation</w:t>
            </w:r>
          </w:p>
        </w:tc>
        <w:tc>
          <w:tcPr>
            <w:tcW w:type="dxa" w:w="6365"/>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Response posture</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Borrower asks: "Did a computer decide my loan?"</w:t>
            </w:r>
          </w:p>
        </w:tc>
        <w:tc>
          <w:tcPr>
            <w:tcW w:type="dxa" w:w="636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 Your loan was reviewed and decided by one of our underwriters. We do use technology to help organise and check documents, the same way we always have." — accurate only while a human decides every file, which is why this is true through Day 80.</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Borrower asks why their file was slower / faster</w:t>
            </w:r>
          </w:p>
        </w:tc>
        <w:tc>
          <w:tcPr>
            <w:tcW w:type="dxa" w:w="636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Answer on the facts of their file. Never attribute either outcome to the pilot.</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Staff member asks: "Is this replacing my job?"</w:t>
            </w:r>
          </w:p>
        </w:tc>
        <w:tc>
          <w:tcPr>
            <w:tcW w:type="dxa" w:w="636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Direct answer, consistent with the written headcount commitment. Escalate to HR if the honest answer is uncertain — an evasive answer is worse than a hard one.</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 officer asks about their pipeline</w:t>
            </w:r>
          </w:p>
        </w:tc>
        <w:tc>
          <w:tcPr>
            <w:tcW w:type="dxa" w:w="636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defined slice is in the studio. Your loans are handled to the same standards and the same SLAs." Escalate exceptions.</w:t>
            </w:r>
          </w:p>
        </w:tc>
      </w:tr>
      <w:tr>
        <w:tc>
          <w:tcPr>
            <w:tcW w:type="dxa" w:w="299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Press or industry analyst enquiry</w:t>
            </w:r>
          </w:p>
        </w:tc>
        <w:tc>
          <w:tcPr>
            <w:tcW w:type="dxa" w:w="6365"/>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 comment on the pilot; route to Communications. Nothing on the record before G4.</w:t>
            </w:r>
          </w:p>
        </w:tc>
      </w:tr>
      <w:tr>
        <w:tc>
          <w:tcPr>
            <w:tcW w:type="dxa" w:w="299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Regulator or auditor asks during exam</w:t>
            </w:r>
          </w:p>
        </w:tc>
        <w:tc>
          <w:tcPr>
            <w:tcW w:type="dxa" w:w="6365"/>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Route to Compliance immediately. Provide the governance charter and the human-in-the-loop control documentation — do not improvise.</w:t>
            </w:r>
          </w:p>
        </w:tc>
      </w:tr>
    </w:tbl>
    <w:p>
      <w:pPr>
        <w:spacing w:after="160"/>
      </w:pPr>
    </w:p>
    <w:p>
      <w:pPr>
        <w:spacing w:after="80" w:before="200"/>
      </w:pPr>
      <w:r>
        <w:rPr>
          <w:rFonts w:ascii="Calibri" w:cs="Calibri" w:eastAsia="Calibri" w:hAnsi="Calibri"/>
          <w:b/>
          <w:bCs/>
          <w:color w:val="0E3A4F"/>
          <w:sz w:val="22"/>
          <w:szCs w:val="22"/>
        </w:rPr>
        <w:t xml:space="preserve">Communications risk register — the three phrases to ban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620"/>
        <w:gridCol w:w="3931"/>
        <w:gridCol w:w="2809"/>
      </w:tblGrid>
      <w:tr>
        <w:trPr>
          <w:tblHeader/>
        </w:trPr>
        <w:tc>
          <w:tcPr>
            <w:tcW w:type="dxa" w:w="262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Never say</w:t>
            </w:r>
          </w:p>
        </w:tc>
        <w:tc>
          <w:tcPr>
            <w:tcW w:type="dxa" w:w="393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Because</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Say instead</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"AI-powered underwriting"</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Implies automated decisioning we are not doing and may trigger disclosure obligations</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"Technology that helps our underwriters"</w:t>
            </w:r>
          </w:p>
        </w:tc>
      </w:tr>
      <w:tr>
        <w:tc>
          <w:tcPr>
            <w:tcW w:type="dxa" w:w="262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"Faster approvals guaranteed"</w:t>
            </w:r>
          </w:p>
        </w:tc>
        <w:tc>
          <w:tcPr>
            <w:tcW w:type="dxa" w:w="393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promise the studio cannot keep; UDAAP exposure</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Nothing — do not market the pilot to borrowers</w:t>
            </w:r>
          </w:p>
        </w:tc>
      </w:tr>
      <w:tr>
        <w:tc>
          <w:tcPr>
            <w:tcW w:type="dxa" w:w="262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 are seeing how much we can automate"</w:t>
            </w:r>
          </w:p>
        </w:tc>
        <w:tc>
          <w:tcPr>
            <w:tcW w:type="dxa" w:w="393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Ends candid staff feedback the day it is said</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"We are testing where this actually helps"</w:t>
            </w:r>
          </w:p>
        </w:tc>
      </w:tr>
    </w:tbl>
    <w:p>
      <w:pPr>
        <w:spacing w:after="160"/>
      </w:pP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Pre-Day 1</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team briefing and all-staff note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Kickoff message sent</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team update in the feedback loop — including what changed from their input</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Visible response to feedback</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Biweekly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Wider originations update — short, factual, no hype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Team meeting note</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Before G2</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determination on borrower disclosure posture</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Written posture decision</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Before Day 61</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Loan officer and ops briefing for the live slice</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Briefing delivered, FAQ issued</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After G4</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Outcome communication to all staff, whatever the outcome</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Closing message</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Every borrower-facing word approved by Compliance before use</w:t>
      </w:r>
    </w:p>
    <w:p>
      <w:pPr>
        <w:pStyle w:val="ListParagraph"/>
        <w:numPr>
          <w:ilvl w:val="0"/>
          <w:numId w:val="3"/>
        </w:numPr>
        <w:spacing w:after="80" w:line="276"/>
      </w:pPr>
      <w:r>
        <w:rPr>
          <w:rFonts w:ascii="Calibri" w:cs="Calibri" w:eastAsia="Calibri" w:hAnsi="Calibri"/>
          <w:color w:val="1A1A1A"/>
          <w:sz w:val="21"/>
          <w:szCs w:val="21"/>
        </w:rPr>
        <w:t xml:space="preserve">Headcount commitment issued in writing before Day 1</w:t>
      </w:r>
    </w:p>
    <w:p>
      <w:pPr>
        <w:pStyle w:val="ListParagraph"/>
        <w:numPr>
          <w:ilvl w:val="0"/>
          <w:numId w:val="3"/>
        </w:numPr>
        <w:spacing w:after="80" w:line="276"/>
      </w:pPr>
      <w:r>
        <w:rPr>
          <w:rFonts w:ascii="Calibri" w:cs="Calibri" w:eastAsia="Calibri" w:hAnsi="Calibri"/>
          <w:color w:val="1A1A1A"/>
          <w:sz w:val="21"/>
          <w:szCs w:val="21"/>
        </w:rPr>
        <w:t xml:space="preserve">Holding statements agreed and distributed before Day 61</w:t>
      </w:r>
    </w:p>
    <w:p>
      <w:pPr>
        <w:pStyle w:val="ListParagraph"/>
        <w:numPr>
          <w:ilvl w:val="0"/>
          <w:numId w:val="3"/>
        </w:numPr>
        <w:spacing w:after="80" w:line="276"/>
      </w:pPr>
      <w:r>
        <w:rPr>
          <w:rFonts w:ascii="Calibri" w:cs="Calibri" w:eastAsia="Calibri" w:hAnsi="Calibri"/>
          <w:color w:val="1A1A1A"/>
          <w:sz w:val="21"/>
          <w:szCs w:val="21"/>
        </w:rPr>
        <w:t xml:space="preserve">Adverse-action articulability demonstrated before any live denial involves Jazz</w:t>
      </w:r>
    </w:p>
    <w:p>
      <w:pPr>
        <w:pStyle w:val="ListParagraph"/>
        <w:numPr>
          <w:ilvl w:val="0"/>
          <w:numId w:val="3"/>
        </w:numPr>
        <w:spacing w:after="80" w:line="276"/>
      </w:pPr>
      <w:r>
        <w:rPr>
          <w:rFonts w:ascii="Calibri" w:cs="Calibri" w:eastAsia="Calibri" w:hAnsi="Calibri"/>
          <w:color w:val="1A1A1A"/>
          <w:sz w:val="21"/>
          <w:szCs w:val="21"/>
        </w:rPr>
        <w:t xml:space="preserve">No external communication about the studio before G4</w:t>
      </w:r>
    </w:p>
    <w:p>
      <w:pPr>
        <w:pStyle w:val="ListParagraph"/>
        <w:numPr>
          <w:ilvl w:val="0"/>
          <w:numId w:val="3"/>
        </w:numPr>
        <w:spacing w:after="80" w:line="276"/>
      </w:pPr>
      <w:r>
        <w:rPr>
          <w:rFonts w:ascii="Calibri" w:cs="Calibri" w:eastAsia="Calibri" w:hAnsi="Calibri"/>
          <w:color w:val="1A1A1A"/>
          <w:sz w:val="21"/>
          <w:szCs w:val="21"/>
        </w:rPr>
        <w:t xml:space="preserve">Closing communication issued even if the decision is no-go — especially if it is</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Rumor outruns the official message</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Internal comms precede Day 1; named channel for questions; visible weekly response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borrower-facing disclosure obligation is discovered at Day 58</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determination scheduled at G0 and confirmed at G2, not at go-live</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Vendor publishes a case study or logo before G4</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Contractual publicity restriction in the SOW; confirmed in writing at kickoff</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Staff stop reporting Jazz errors because it feels disloyal to the program</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Dissent framed as the deliverable; celebrate the first significant error a team member finds</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Enthusiastic exec describes the pilot externally at a conference</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Sponsor holds the external posture and briefs the exec team on the embargo</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Borrower &amp; Internal Communications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Borrower &amp; Internal Communications</dc:title>
  <dc:creator>Design Studio Program Office</dc:creator>
  <dc:description>What we say, to whom, at which phase — and what we never say.</dc:description>
  <cp:lastModifiedBy>Un-named</cp:lastModifiedBy>
  <cp:revision>1</cp:revision>
  <dcterms:created xsi:type="dcterms:W3CDTF">2026-08-04T00:29:14.369Z</dcterms:created>
  <dcterms:modified xsi:type="dcterms:W3CDTF">2026-08-04T00:29:14.369Z</dcterms:modified>
</cp:coreProperties>
</file>

<file path=docProps/custom.xml><?xml version="1.0" encoding="utf-8"?>
<Properties xmlns="http://schemas.openxmlformats.org/officeDocument/2006/custom-properties" xmlns:vt="http://schemas.openxmlformats.org/officeDocument/2006/docPropsVTypes"/>
</file>