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3E8FA3"/>
          <w:spacing w:val="30"/>
          <w:sz w:val="17"/>
          <w:szCs w:val="17"/>
        </w:rPr>
        <w:t xml:space="preserve">LOGISTICS — DEFINE PROOF OF VALUE  │  ONE-PAGER 07</w:t>
      </w:r>
    </w:p>
    <w:p>
      <w:pPr>
        <w:spacing w:after="60"/>
      </w:pPr>
      <w:r>
        <w:rPr>
          <w:rFonts w:ascii="Calibri" w:cs="Calibri" w:eastAsia="Calibri" w:hAnsi="Calibri"/>
          <w:b/>
          <w:bCs/>
          <w:color w:val="0E3A4F"/>
          <w:sz w:val="40"/>
          <w:szCs w:val="40"/>
        </w:rPr>
        <w:t xml:space="preserve">Go / No-Go Decision Criteria</w:t>
      </w:r>
    </w:p>
    <w:p>
      <w:pPr>
        <w:pBdr>
          <w:bottom w:val="single" w:color="1B6B7C" w:sz="12" w:space="8"/>
        </w:pBdr>
        <w:spacing w:after="200"/>
      </w:pPr>
      <w:r>
        <w:rPr>
          <w:rFonts w:ascii="Calibri" w:cs="Calibri" w:eastAsia="Calibri" w:hAnsi="Calibri"/>
          <w:i/>
          <w:iCs/>
          <w:color w:val="5A6B73"/>
          <w:sz w:val="21"/>
          <w:szCs w:val="21"/>
        </w:rPr>
        <w:t xml:space="preserve">The decision rule, written and signed before anyone can see the answer.</w:t>
      </w:r>
    </w:p>
    <w:p>
      <w:pPr>
        <w:pBdr>
          <w:bottom w:val="single" w:color="C9D6DC" w:sz="6" w:space="6"/>
        </w:pBdr>
        <w:spacing w:after="140" w:before="280"/>
      </w:pPr>
      <w:r>
        <w:rPr>
          <w:rFonts w:ascii="Calibri" w:cs="Calibri" w:eastAsia="Calibri" w:hAnsi="Calibri"/>
          <w:b/>
          <w:bCs/>
          <w:color w:val="1B6B7C"/>
          <w:spacing w:val="20"/>
          <w:sz w:val="20"/>
          <w:szCs w:val="20"/>
        </w:rPr>
        <w:t xml:space="preserve">PURPOSE</w:t>
      </w:r>
    </w:p>
    <w:p>
      <w:pPr>
        <w:spacing w:after="120" w:line="276"/>
      </w:pPr>
      <w:r>
        <w:rPr>
          <w:rFonts w:ascii="Calibri" w:cs="Calibri" w:eastAsia="Calibri" w:hAnsi="Calibri"/>
          <w:color w:val="1A1A1A"/>
          <w:sz w:val="21"/>
          <w:szCs w:val="21"/>
        </w:rPr>
        <w:t xml:space="preserve">To define the rule by which the Day 90 decision is made, in advance, so that the decision is an application of agreed criteria rather than an argument. This document also pre-commits what each outcome triggers, because a decision with no consequence attached is not a decision, and a no-go that nobody planned for quietly becomes a drift into indefinite pilot.</w:t>
      </w:r>
    </w:p>
    <w:p>
      <w:pPr>
        <w:pBdr>
          <w:bottom w:val="single" w:color="C9D6DC" w:sz="6" w:space="6"/>
        </w:pBdr>
        <w:spacing w:after="140" w:before="280"/>
      </w:pPr>
      <w:r>
        <w:rPr>
          <w:rFonts w:ascii="Calibri" w:cs="Calibri" w:eastAsia="Calibri" w:hAnsi="Calibri"/>
          <w:b/>
          <w:bCs/>
          <w:color w:val="1B6B7C"/>
          <w:spacing w:val="20"/>
          <w:sz w:val="20"/>
          <w:szCs w:val="20"/>
        </w:rPr>
        <w:t xml:space="preserve">OWNER &amp; RACI</w:t>
      </w:r>
    </w:p>
    <w:tbl>
      <w:tblPr>
        <w:tblW w:type="dxa" w:w="9360"/>
        <w:tblBorders>
          <w:top w:val="single" w:color="C9D6DC" w:sz="2"/>
          <w:left w:val="single" w:color="C9D6DC" w:sz="2"/>
          <w:bottom w:val="single" w:color="C9D6DC" w:sz="2"/>
          <w:right w:val="single" w:color="C9D6DC" w:sz="2"/>
          <w:insideH w:val="single" w:color="C9D6DC" w:sz="2"/>
          <w:insideV w:val="single" w:color="C9D6DC" w:sz="2"/>
        </w:tblBorders>
      </w:tblPr>
      <w:tblGrid>
        <w:gridCol w:w="3182"/>
        <w:gridCol w:w="3744"/>
        <w:gridCol w:w="2434"/>
      </w:tblGrid>
      <w:tr>
        <w:trPr>
          <w:tblHeader/>
        </w:trPr>
        <w:tc>
          <w:tcPr>
            <w:tcW w:type="dxa" w:w="3182"/>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Role</w:t>
            </w:r>
          </w:p>
        </w:tc>
        <w:tc>
          <w:tcPr>
            <w:tcW w:type="dxa" w:w="3744"/>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Who (fill in at G0)</w:t>
            </w:r>
          </w:p>
        </w:tc>
        <w:tc>
          <w:tcPr>
            <w:tcW w:type="dxa" w:w="2434"/>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R / A / C / I</w:t>
            </w:r>
          </w:p>
        </w:tc>
      </w:tr>
      <w:tr>
        <w:tc>
          <w:tcPr>
            <w:tcW w:type="dxa" w:w="318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Executive Sponsor</w:t>
            </w:r>
          </w:p>
        </w:tc>
        <w:tc>
          <w:tcPr>
            <w:tcW w:type="dxa" w:w="3744"/>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2434"/>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A — makes the call</w:t>
            </w:r>
          </w:p>
        </w:tc>
      </w:tr>
      <w:tr>
        <w:tc>
          <w:tcPr>
            <w:tcW w:type="dxa" w:w="318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Steering Committee</w:t>
            </w:r>
          </w:p>
        </w:tc>
        <w:tc>
          <w:tcPr>
            <w:tcW w:type="dxa" w:w="3744"/>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2434"/>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R — assesses evidence, records dissent</w:t>
            </w:r>
          </w:p>
        </w:tc>
      </w:tr>
      <w:tr>
        <w:tc>
          <w:tcPr>
            <w:tcW w:type="dxa" w:w="318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Finance</w:t>
            </w:r>
          </w:p>
        </w:tc>
        <w:tc>
          <w:tcPr>
            <w:tcW w:type="dxa" w:w="3744"/>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2434"/>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R — owns the business case</w:t>
            </w:r>
          </w:p>
        </w:tc>
      </w:tr>
      <w:tr>
        <w:tc>
          <w:tcPr>
            <w:tcW w:type="dxa" w:w="318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Compliance / Model Risk</w:t>
            </w:r>
          </w:p>
        </w:tc>
        <w:tc>
          <w:tcPr>
            <w:tcW w:type="dxa" w:w="3744"/>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2434"/>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 — hold a block right on any go</w:t>
            </w:r>
          </w:p>
        </w:tc>
      </w:tr>
      <w:tr>
        <w:tc>
          <w:tcPr>
            <w:tcW w:type="dxa" w:w="318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Studio Lead</w:t>
            </w:r>
          </w:p>
        </w:tc>
        <w:tc>
          <w:tcPr>
            <w:tcW w:type="dxa" w:w="3744"/>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2434"/>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R — presents evidence, does not vote</w:t>
            </w:r>
          </w:p>
        </w:tc>
      </w:tr>
      <w:tr>
        <w:tc>
          <w:tcPr>
            <w:tcW w:type="dxa" w:w="318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JazzX</w:t>
            </w:r>
          </w:p>
        </w:tc>
        <w:tc>
          <w:tcPr>
            <w:tcW w:type="dxa" w:w="3744"/>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2434"/>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Not present for the decision</w:t>
            </w:r>
          </w:p>
        </w:tc>
      </w:tr>
    </w:tbl>
    <w:p>
      <w:pPr>
        <w:spacing w:after="120"/>
      </w:pPr>
    </w:p>
    <w:p>
      <w:pPr>
        <w:pBdr>
          <w:bottom w:val="single" w:color="C9D6DC" w:sz="6" w:space="6"/>
        </w:pBdr>
        <w:spacing w:after="140" w:before="280"/>
      </w:pPr>
      <w:r>
        <w:rPr>
          <w:rFonts w:ascii="Calibri" w:cs="Calibri" w:eastAsia="Calibri" w:hAnsi="Calibri"/>
          <w:b/>
          <w:bCs/>
          <w:color w:val="1B6B7C"/>
          <w:spacing w:val="20"/>
          <w:sz w:val="20"/>
          <w:szCs w:val="20"/>
        </w:rPr>
        <w:t xml:space="preserve">DECISIONS THIS DOCUMENT MAKES</w:t>
      </w:r>
    </w:p>
    <w:p>
      <w:pPr>
        <w:pStyle w:val="ListParagraph"/>
        <w:numPr>
          <w:ilvl w:val="0"/>
          <w:numId w:val="2"/>
        </w:numPr>
        <w:spacing w:after="80" w:line="276"/>
      </w:pPr>
      <w:r>
        <w:rPr>
          <w:rFonts w:ascii="Calibri" w:cs="Calibri" w:eastAsia="Calibri" w:hAnsi="Calibri"/>
          <w:color w:val="1A1A1A"/>
          <w:sz w:val="21"/>
          <w:szCs w:val="21"/>
        </w:rPr>
        <w:t xml:space="preserve">There are </w:t>
      </w:r>
      <w:r>
        <w:rPr>
          <w:rFonts w:ascii="Calibri" w:cs="Calibri" w:eastAsia="Calibri" w:hAnsi="Calibri"/>
          <w:b/>
          <w:bCs/>
          <w:color w:val="1A1A1A"/>
          <w:sz w:val="21"/>
          <w:szCs w:val="21"/>
        </w:rPr>
        <w:t xml:space="preserve">four outcomes, not two</w:t>
      </w:r>
      <w:r>
        <w:rPr>
          <w:rFonts w:ascii="Calibri" w:cs="Calibri" w:eastAsia="Calibri" w:hAnsi="Calibri"/>
          <w:color w:val="1A1A1A"/>
          <w:sz w:val="21"/>
          <w:szCs w:val="21"/>
        </w:rPr>
        <w:t xml:space="preserve">: Scale, Narrow, Extend, Stop. Framing the decision as a binary is what produces indefinite pilots.</w:t>
      </w:r>
    </w:p>
    <w:p>
      <w:pPr>
        <w:pStyle w:val="ListParagraph"/>
        <w:numPr>
          <w:ilvl w:val="0"/>
          <w:numId w:val="2"/>
        </w:numPr>
        <w:spacing w:after="80" w:line="276"/>
      </w:pPr>
      <w:r>
        <w:rPr>
          <w:rFonts w:ascii="Calibri" w:cs="Calibri" w:eastAsia="Calibri" w:hAnsi="Calibri"/>
          <w:color w:val="1A1A1A"/>
          <w:sz w:val="21"/>
          <w:szCs w:val="21"/>
        </w:rPr>
        <w:t xml:space="preserve">The criteria are </w:t>
      </w:r>
      <w:r>
        <w:rPr>
          <w:rFonts w:ascii="Calibri" w:cs="Calibri" w:eastAsia="Calibri" w:hAnsi="Calibri"/>
          <w:b/>
          <w:bCs/>
          <w:color w:val="1A1A1A"/>
          <w:sz w:val="21"/>
          <w:szCs w:val="21"/>
        </w:rPr>
        <w:t xml:space="preserve">signed before Gate 2</w:t>
      </w:r>
      <w:r>
        <w:rPr>
          <w:rFonts w:ascii="Calibri" w:cs="Calibri" w:eastAsia="Calibri" w:hAnsi="Calibri"/>
          <w:color w:val="1A1A1A"/>
          <w:sz w:val="21"/>
          <w:szCs w:val="21"/>
        </w:rPr>
        <w:t xml:space="preserve"> and are not amended afterward. If circumstances genuinely change, amendment requires a Steering decision recorded before the evidence is reviewed.</w:t>
      </w:r>
    </w:p>
    <w:p>
      <w:pPr>
        <w:pStyle w:val="ListParagraph"/>
        <w:numPr>
          <w:ilvl w:val="0"/>
          <w:numId w:val="2"/>
        </w:numPr>
        <w:spacing w:after="80" w:line="276"/>
      </w:pPr>
      <w:r>
        <w:rPr>
          <w:rFonts w:ascii="Calibri" w:cs="Calibri" w:eastAsia="Calibri" w:hAnsi="Calibri"/>
          <w:color w:val="1A1A1A"/>
          <w:sz w:val="21"/>
          <w:szCs w:val="21"/>
        </w:rPr>
        <w:t xml:space="preserve">Must-pass criteria are </w:t>
      </w:r>
      <w:r>
        <w:rPr>
          <w:rFonts w:ascii="Calibri" w:cs="Calibri" w:eastAsia="Calibri" w:hAnsi="Calibri"/>
          <w:b/>
          <w:bCs/>
          <w:color w:val="1A1A1A"/>
          <w:sz w:val="21"/>
          <w:szCs w:val="21"/>
        </w:rPr>
        <w:t xml:space="preserve">absolute</w:t>
      </w:r>
      <w:r>
        <w:rPr>
          <w:rFonts w:ascii="Calibri" w:cs="Calibri" w:eastAsia="Calibri" w:hAnsi="Calibri"/>
          <w:color w:val="1A1A1A"/>
          <w:sz w:val="21"/>
          <w:szCs w:val="21"/>
        </w:rPr>
        <w:t xml:space="preserve">. No weighted score, however strong, overrides a failed must-pass.</w:t>
      </w:r>
    </w:p>
    <w:p>
      <w:pPr>
        <w:pStyle w:val="ListParagraph"/>
        <w:numPr>
          <w:ilvl w:val="0"/>
          <w:numId w:val="2"/>
        </w:numPr>
        <w:spacing w:after="80" w:line="276"/>
      </w:pPr>
      <w:r>
        <w:rPr>
          <w:rFonts w:ascii="Calibri" w:cs="Calibri" w:eastAsia="Calibri" w:hAnsi="Calibri"/>
          <w:color w:val="1A1A1A"/>
          <w:sz w:val="21"/>
          <w:szCs w:val="21"/>
        </w:rPr>
        <w:t xml:space="preserve">Every outcome has a </w:t>
      </w:r>
      <w:r>
        <w:rPr>
          <w:rFonts w:ascii="Calibri" w:cs="Calibri" w:eastAsia="Calibri" w:hAnsi="Calibri"/>
          <w:b/>
          <w:bCs/>
          <w:color w:val="1A1A1A"/>
          <w:sz w:val="21"/>
          <w:szCs w:val="21"/>
        </w:rPr>
        <w:t xml:space="preserve">pre-committed consequence</w:t>
      </w:r>
      <w:r>
        <w:rPr>
          <w:rFonts w:ascii="Calibri" w:cs="Calibri" w:eastAsia="Calibri" w:hAnsi="Calibri"/>
          <w:color w:val="1A1A1A"/>
          <w:sz w:val="21"/>
          <w:szCs w:val="21"/>
        </w:rPr>
        <w:t xml:space="preserve"> — budget, scope and timeline — agreed at G0.</w:t>
      </w:r>
    </w:p>
    <w:p>
      <w:pPr>
        <w:pStyle w:val="ListParagraph"/>
        <w:numPr>
          <w:ilvl w:val="0"/>
          <w:numId w:val="2"/>
        </w:numPr>
        <w:spacing w:after="80" w:line="276"/>
      </w:pPr>
      <w:r>
        <w:rPr>
          <w:rFonts w:ascii="Calibri" w:cs="Calibri" w:eastAsia="Calibri" w:hAnsi="Calibri"/>
          <w:b/>
          <w:bCs/>
          <w:color w:val="1A1A1A"/>
          <w:sz w:val="21"/>
          <w:szCs w:val="21"/>
        </w:rPr>
        <w:t xml:space="preserve">Extend is capped at one use, for a maximum of 60 days,</w:t>
      </w:r>
      <w:r>
        <w:rPr>
          <w:rFonts w:ascii="Calibri" w:cs="Calibri" w:eastAsia="Calibri" w:hAnsi="Calibri"/>
          <w:color w:val="1A1A1A"/>
          <w:sz w:val="21"/>
          <w:szCs w:val="21"/>
        </w:rPr>
        <w:t xml:space="preserve"> with a written statement of what will be different. A second extension is a Stop.</w:t>
      </w:r>
    </w:p>
    <w:p>
      <w:pPr>
        <w:pBdr>
          <w:bottom w:val="single" w:color="C9D6DC" w:sz="6" w:space="6"/>
        </w:pBdr>
        <w:spacing w:after="140" w:before="280"/>
      </w:pPr>
      <w:r>
        <w:rPr>
          <w:rFonts w:ascii="Calibri" w:cs="Calibri" w:eastAsia="Calibri" w:hAnsi="Calibri"/>
          <w:b/>
          <w:bCs/>
          <w:color w:val="1B6B7C"/>
          <w:spacing w:val="20"/>
          <w:sz w:val="20"/>
          <w:szCs w:val="20"/>
        </w:rPr>
        <w:t xml:space="preserve">THE FRAMEWORK</w:t>
      </w:r>
    </w:p>
    <w:p>
      <w:pPr>
        <w:spacing w:after="80" w:before="200"/>
      </w:pPr>
      <w:r>
        <w:rPr>
          <w:rFonts w:ascii="Calibri" w:cs="Calibri" w:eastAsia="Calibri" w:hAnsi="Calibri"/>
          <w:b/>
          <w:bCs/>
          <w:color w:val="0E3A4F"/>
          <w:sz w:val="22"/>
          <w:szCs w:val="22"/>
        </w:rPr>
        <w:t xml:space="preserve">Must-pass criteria — any failure blocks a go</w:t>
      </w:r>
    </w:p>
    <w:tbl>
      <w:tblPr>
        <w:tblW w:type="dxa" w:w="9360"/>
        <w:tblBorders>
          <w:top w:val="single" w:color="C9D6DC" w:sz="2"/>
          <w:left w:val="single" w:color="C9D6DC" w:sz="2"/>
          <w:bottom w:val="single" w:color="C9D6DC" w:sz="2"/>
          <w:right w:val="single" w:color="C9D6DC" w:sz="2"/>
          <w:insideH w:val="single" w:color="C9D6DC" w:sz="2"/>
          <w:insideV w:val="single" w:color="C9D6DC" w:sz="2"/>
        </w:tblBorders>
      </w:tblPr>
      <w:tblGrid>
        <w:gridCol w:w="655"/>
        <w:gridCol w:w="3931"/>
        <w:gridCol w:w="3088"/>
        <w:gridCol w:w="1686"/>
      </w:tblGrid>
      <w:tr>
        <w:trPr>
          <w:tblHeader/>
        </w:trPr>
        <w:tc>
          <w:tcPr>
            <w:tcW w:type="dxa" w:w="655"/>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w:t>
            </w:r>
          </w:p>
        </w:tc>
        <w:tc>
          <w:tcPr>
            <w:tcW w:type="dxa" w:w="3931"/>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Criterion</w:t>
            </w:r>
          </w:p>
        </w:tc>
        <w:tc>
          <w:tcPr>
            <w:tcW w:type="dxa" w:w="3088"/>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Evidence</w:t>
            </w:r>
          </w:p>
        </w:tc>
        <w:tc>
          <w:tcPr>
            <w:tcW w:type="dxa" w:w="1686"/>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Owner</w:t>
            </w:r>
          </w:p>
        </w:tc>
      </w:tr>
      <w:tr>
        <w:tc>
          <w:tcPr>
            <w:tcW w:type="dxa" w:w="655"/>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1</w:t>
            </w:r>
          </w:p>
        </w:tc>
        <w:tc>
          <w:tcPr>
            <w:tcW w:type="dxa" w:w="3931"/>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No unremediated borrower-impacting defect attributable to the studio workflow</w:t>
            </w:r>
          </w:p>
        </w:tc>
        <w:tc>
          <w:tcPr>
            <w:tcW w:type="dxa" w:w="3088"/>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Defect log with resolution status</w:t>
            </w:r>
          </w:p>
        </w:tc>
        <w:tc>
          <w:tcPr>
            <w:tcW w:type="dxa" w:w="1686"/>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QC</w:t>
            </w:r>
          </w:p>
        </w:tc>
      </w:tr>
      <w:tr>
        <w:tc>
          <w:tcPr>
            <w:tcW w:type="dxa" w:w="655"/>
            <w:shd w:fill="F2F6F8" w:color="auto" w:val="clear"/>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2</w:t>
            </w:r>
          </w:p>
        </w:tc>
        <w:tc>
          <w:tcPr>
            <w:tcW w:type="dxa" w:w="3931"/>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False clear rate no worse than baseline</w:t>
            </w:r>
          </w:p>
        </w:tc>
        <w:tc>
          <w:tcPr>
            <w:tcW w:type="dxa" w:w="3088"/>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Comparison log with n and confidence</w:t>
            </w:r>
          </w:p>
        </w:tc>
        <w:tc>
          <w:tcPr>
            <w:tcW w:type="dxa" w:w="1686"/>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QC</w:t>
            </w:r>
          </w:p>
        </w:tc>
      </w:tr>
      <w:tr>
        <w:tc>
          <w:tcPr>
            <w:tcW w:type="dxa" w:w="655"/>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3</w:t>
            </w:r>
          </w:p>
        </w:tc>
        <w:tc>
          <w:tcPr>
            <w:tcW w:type="dxa" w:w="3931"/>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Compliance sign-off for continued production use</w:t>
            </w:r>
          </w:p>
        </w:tc>
        <w:tc>
          <w:tcPr>
            <w:tcW w:type="dxa" w:w="3088"/>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Written sign-off</w:t>
            </w:r>
          </w:p>
        </w:tc>
        <w:tc>
          <w:tcPr>
            <w:tcW w:type="dxa" w:w="1686"/>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Compliance</w:t>
            </w:r>
          </w:p>
        </w:tc>
      </w:tr>
      <w:tr>
        <w:tc>
          <w:tcPr>
            <w:tcW w:type="dxa" w:w="655"/>
            <w:shd w:fill="F2F6F8" w:color="auto" w:val="clear"/>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4</w:t>
            </w:r>
          </w:p>
        </w:tc>
        <w:tc>
          <w:tcPr>
            <w:tcW w:type="dxa" w:w="3931"/>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Model risk validation requirements satisfied to the tier agreed at G0</w:t>
            </w:r>
          </w:p>
        </w:tc>
        <w:tc>
          <w:tcPr>
            <w:tcW w:type="dxa" w:w="3088"/>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Validation memo</w:t>
            </w:r>
          </w:p>
        </w:tc>
        <w:tc>
          <w:tcPr>
            <w:tcW w:type="dxa" w:w="1686"/>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Model Risk</w:t>
            </w:r>
          </w:p>
        </w:tc>
      </w:tr>
      <w:tr>
        <w:tc>
          <w:tcPr>
            <w:tcW w:type="dxa" w:w="655"/>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5</w:t>
            </w:r>
          </w:p>
        </w:tc>
        <w:tc>
          <w:tcPr>
            <w:tcW w:type="dxa" w:w="3931"/>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Adverse-action articulability demonstrated for any Jazz-influenced denial</w:t>
            </w:r>
          </w:p>
        </w:tc>
        <w:tc>
          <w:tcPr>
            <w:tcW w:type="dxa" w:w="3088"/>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Worked examples</w:t>
            </w:r>
          </w:p>
        </w:tc>
        <w:tc>
          <w:tcPr>
            <w:tcW w:type="dxa" w:w="1686"/>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Compliance</w:t>
            </w:r>
          </w:p>
        </w:tc>
      </w:tr>
      <w:tr>
        <w:tc>
          <w:tcPr>
            <w:tcW w:type="dxa" w:w="655"/>
            <w:shd w:fill="F2F6F8" w:color="auto" w:val="clear"/>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6</w:t>
            </w:r>
          </w:p>
        </w:tc>
        <w:tc>
          <w:tcPr>
            <w:tcW w:type="dxa" w:w="3931"/>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No adverse fair lending pattern in the live cohort</w:t>
            </w:r>
          </w:p>
        </w:tc>
        <w:tc>
          <w:tcPr>
            <w:tcW w:type="dxa" w:w="3088"/>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Outcome analysis by protected class</w:t>
            </w:r>
          </w:p>
        </w:tc>
        <w:tc>
          <w:tcPr>
            <w:tcW w:type="dxa" w:w="1686"/>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Compliance</w:t>
            </w:r>
          </w:p>
        </w:tc>
      </w:tr>
      <w:tr>
        <w:tc>
          <w:tcPr>
            <w:tcW w:type="dxa" w:w="655"/>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7</w:t>
            </w:r>
          </w:p>
        </w:tc>
        <w:tc>
          <w:tcPr>
            <w:tcW w:type="dxa" w:w="3931"/>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Zero unresolved security or data incidents</w:t>
            </w:r>
          </w:p>
        </w:tc>
        <w:tc>
          <w:tcPr>
            <w:tcW w:type="dxa" w:w="3088"/>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InfoSec confirmation</w:t>
            </w:r>
          </w:p>
        </w:tc>
        <w:tc>
          <w:tcPr>
            <w:tcW w:type="dxa" w:w="1686"/>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InfoSec</w:t>
            </w:r>
          </w:p>
        </w:tc>
      </w:tr>
      <w:tr>
        <w:tc>
          <w:tcPr>
            <w:tcW w:type="dxa" w:w="655"/>
            <w:shd w:fill="F2F6F8" w:color="auto" w:val="clear"/>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8</w:t>
            </w:r>
          </w:p>
        </w:tc>
        <w:tc>
          <w:tcPr>
            <w:tcW w:type="dxa" w:w="3931"/>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Vendor viability and contract terms acceptable at scale</w:t>
            </w:r>
          </w:p>
        </w:tc>
        <w:tc>
          <w:tcPr>
            <w:tcW w:type="dxa" w:w="3088"/>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Third-party risk assessment</w:t>
            </w:r>
          </w:p>
        </w:tc>
        <w:tc>
          <w:tcPr>
            <w:tcW w:type="dxa" w:w="1686"/>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Third-Party Risk</w:t>
            </w:r>
          </w:p>
        </w:tc>
      </w:tr>
    </w:tbl>
    <w:p>
      <w:pPr>
        <w:spacing w:after="160"/>
      </w:pPr>
    </w:p>
    <w:p>
      <w:pPr>
        <w:spacing w:after="80" w:before="200"/>
      </w:pPr>
      <w:r>
        <w:rPr>
          <w:rFonts w:ascii="Calibri" w:cs="Calibri" w:eastAsia="Calibri" w:hAnsi="Calibri"/>
          <w:b/>
          <w:bCs/>
          <w:color w:val="0E3A4F"/>
          <w:sz w:val="22"/>
          <w:szCs w:val="22"/>
        </w:rPr>
        <w:t xml:space="preserve">Weighted scorecard — applied only after all must-pass criteria clear</w:t>
      </w:r>
    </w:p>
    <w:tbl>
      <w:tblPr>
        <w:tblW w:type="dxa" w:w="9360"/>
        <w:tblBorders>
          <w:top w:val="single" w:color="C9D6DC" w:sz="2"/>
          <w:left w:val="single" w:color="C9D6DC" w:sz="2"/>
          <w:bottom w:val="single" w:color="C9D6DC" w:sz="2"/>
          <w:right w:val="single" w:color="C9D6DC" w:sz="2"/>
          <w:insideH w:val="single" w:color="C9D6DC" w:sz="2"/>
          <w:insideV w:val="single" w:color="C9D6DC" w:sz="2"/>
        </w:tblBorders>
      </w:tblPr>
      <w:tblGrid>
        <w:gridCol w:w="2620"/>
        <w:gridCol w:w="1123"/>
        <w:gridCol w:w="4118"/>
        <w:gridCol w:w="1499"/>
      </w:tblGrid>
      <w:tr>
        <w:trPr>
          <w:tblHeader/>
        </w:trPr>
        <w:tc>
          <w:tcPr>
            <w:tcW w:type="dxa" w:w="2620"/>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Dimension</w:t>
            </w:r>
          </w:p>
        </w:tc>
        <w:tc>
          <w:tcPr>
            <w:tcW w:type="dxa" w:w="1123"/>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Weight</w:t>
            </w:r>
          </w:p>
        </w:tc>
        <w:tc>
          <w:tcPr>
            <w:tcW w:type="dxa" w:w="4118"/>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Scored on</w:t>
            </w:r>
          </w:p>
        </w:tc>
        <w:tc>
          <w:tcPr>
            <w:tcW w:type="dxa" w:w="1499"/>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Score 1–5</w:t>
            </w:r>
          </w:p>
        </w:tc>
      </w:tr>
      <w:tr>
        <w:tc>
          <w:tcPr>
            <w:tcW w:type="dxa" w:w="2620"/>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Labor value</w:t>
            </w:r>
          </w:p>
        </w:tc>
        <w:tc>
          <w:tcPr>
            <w:tcW w:type="dxa" w:w="1123"/>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25%</w:t>
            </w:r>
          </w:p>
        </w:tc>
        <w:tc>
          <w:tcPr>
            <w:tcW w:type="dxa" w:w="4118"/>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Net touch-time reduction per loan against threshold</w:t>
            </w:r>
          </w:p>
        </w:tc>
        <w:tc>
          <w:tcPr>
            <w:tcW w:type="dxa" w:w="1499"/>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r>
      <w:tr>
        <w:tc>
          <w:tcPr>
            <w:tcW w:type="dxa" w:w="2620"/>
            <w:shd w:fill="F2F6F8" w:color="auto" w:val="clear"/>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Quality value</w:t>
            </w:r>
          </w:p>
        </w:tc>
        <w:tc>
          <w:tcPr>
            <w:tcW w:type="dxa" w:w="1123"/>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25%</w:t>
            </w:r>
          </w:p>
        </w:tc>
        <w:tc>
          <w:tcPr>
            <w:tcW w:type="dxa" w:w="4118"/>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Condition recall and recognition accuracy against threshold</w:t>
            </w:r>
          </w:p>
        </w:tc>
        <w:tc>
          <w:tcPr>
            <w:tcW w:type="dxa" w:w="1499"/>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r>
      <w:tr>
        <w:tc>
          <w:tcPr>
            <w:tcW w:type="dxa" w:w="2620"/>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Cycle-time value</w:t>
            </w:r>
          </w:p>
        </w:tc>
        <w:tc>
          <w:tcPr>
            <w:tcW w:type="dxa" w:w="1123"/>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15%</w:t>
            </w:r>
          </w:p>
        </w:tc>
        <w:tc>
          <w:tcPr>
            <w:tcW w:type="dxa" w:w="4118"/>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Decision turn time in the live period against threshold</w:t>
            </w:r>
          </w:p>
        </w:tc>
        <w:tc>
          <w:tcPr>
            <w:tcW w:type="dxa" w:w="1499"/>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r>
      <w:tr>
        <w:tc>
          <w:tcPr>
            <w:tcW w:type="dxa" w:w="2620"/>
            <w:shd w:fill="F2F6F8" w:color="auto" w:val="clear"/>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Economics</w:t>
            </w:r>
          </w:p>
        </w:tc>
        <w:tc>
          <w:tcPr>
            <w:tcW w:type="dxa" w:w="1123"/>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15%</w:t>
            </w:r>
          </w:p>
        </w:tc>
        <w:tc>
          <w:tcPr>
            <w:tcW w:type="dxa" w:w="4118"/>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Net cost per loan and payback period at scale volume</w:t>
            </w:r>
          </w:p>
        </w:tc>
        <w:tc>
          <w:tcPr>
            <w:tcW w:type="dxa" w:w="1499"/>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r>
      <w:tr>
        <w:tc>
          <w:tcPr>
            <w:tcW w:type="dxa" w:w="2620"/>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Operational fit</w:t>
            </w:r>
          </w:p>
        </w:tc>
        <w:tc>
          <w:tcPr>
            <w:tcW w:type="dxa" w:w="1123"/>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10%</w:t>
            </w:r>
          </w:p>
        </w:tc>
        <w:tc>
          <w:tcPr>
            <w:tcW w:type="dxa" w:w="4118"/>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Can operations absorb this without heroics?</w:t>
            </w:r>
          </w:p>
        </w:tc>
        <w:tc>
          <w:tcPr>
            <w:tcW w:type="dxa" w:w="1499"/>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r>
      <w:tr>
        <w:tc>
          <w:tcPr>
            <w:tcW w:type="dxa" w:w="2620"/>
            <w:shd w:fill="F2F6F8" w:color="auto" w:val="clear"/>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Team capability</w:t>
            </w:r>
          </w:p>
        </w:tc>
        <w:tc>
          <w:tcPr>
            <w:tcW w:type="dxa" w:w="1123"/>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5%</w:t>
            </w:r>
          </w:p>
        </w:tc>
        <w:tc>
          <w:tcPr>
            <w:tcW w:type="dxa" w:w="4118"/>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Can we tune and operate Jazz without JazzX in the room?</w:t>
            </w:r>
          </w:p>
        </w:tc>
        <w:tc>
          <w:tcPr>
            <w:tcW w:type="dxa" w:w="1499"/>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r>
      <w:tr>
        <w:tc>
          <w:tcPr>
            <w:tcW w:type="dxa" w:w="2620"/>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Scale readiness</w:t>
            </w:r>
          </w:p>
        </w:tc>
        <w:tc>
          <w:tcPr>
            <w:tcW w:type="dxa" w:w="1123"/>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5%</w:t>
            </w:r>
          </w:p>
        </w:tc>
        <w:tc>
          <w:tcPr>
            <w:tcW w:type="dxa" w:w="4118"/>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Is the path from slice to portfolio credible and costed?</w:t>
            </w:r>
          </w:p>
        </w:tc>
        <w:tc>
          <w:tcPr>
            <w:tcW w:type="dxa" w:w="1499"/>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r>
    </w:tbl>
    <w:p>
      <w:pPr>
        <w:spacing w:after="160" w:before="80"/>
      </w:pPr>
      <w:r>
        <w:rPr>
          <w:rFonts w:ascii="Calibri" w:cs="Calibri" w:eastAsia="Calibri" w:hAnsi="Calibri"/>
          <w:i/>
          <w:iCs/>
          <w:color w:val="5A6B73"/>
          <w:sz w:val="18"/>
          <w:szCs w:val="18"/>
        </w:rPr>
        <w:t xml:space="preserve">Weighted score ≥ 3.5 supports Scale; 2.5–3.5 indicates Narrow or Extend; &lt; 2.5 indicates Stop.</w:t>
      </w:r>
    </w:p>
    <w:p>
      <w:pPr>
        <w:spacing w:after="80" w:before="200"/>
      </w:pPr>
      <w:r>
        <w:rPr>
          <w:rFonts w:ascii="Calibri" w:cs="Calibri" w:eastAsia="Calibri" w:hAnsi="Calibri"/>
          <w:b/>
          <w:bCs/>
          <w:color w:val="0E3A4F"/>
          <w:sz w:val="22"/>
          <w:szCs w:val="22"/>
        </w:rPr>
        <w:t xml:space="preserve">The four outcomes and what each triggers</w:t>
      </w:r>
    </w:p>
    <w:tbl>
      <w:tblPr>
        <w:tblW w:type="dxa" w:w="9360"/>
        <w:tblBorders>
          <w:top w:val="single" w:color="C9D6DC" w:sz="2"/>
          <w:left w:val="single" w:color="C9D6DC" w:sz="2"/>
          <w:bottom w:val="single" w:color="C9D6DC" w:sz="2"/>
          <w:right w:val="single" w:color="C9D6DC" w:sz="2"/>
          <w:insideH w:val="single" w:color="C9D6DC" w:sz="2"/>
          <w:insideV w:val="single" w:color="C9D6DC" w:sz="2"/>
        </w:tblBorders>
      </w:tblPr>
      <w:tblGrid>
        <w:gridCol w:w="1497"/>
        <w:gridCol w:w="3369"/>
        <w:gridCol w:w="4494"/>
      </w:tblGrid>
      <w:tr>
        <w:trPr>
          <w:tblHeader/>
        </w:trPr>
        <w:tc>
          <w:tcPr>
            <w:tcW w:type="dxa" w:w="1497"/>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Outcome</w:t>
            </w:r>
          </w:p>
        </w:tc>
        <w:tc>
          <w:tcPr>
            <w:tcW w:type="dxa" w:w="3369"/>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When</w:t>
            </w:r>
          </w:p>
        </w:tc>
        <w:tc>
          <w:tcPr>
            <w:tcW w:type="dxa" w:w="4494"/>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Pre-committed consequence</w:t>
            </w:r>
          </w:p>
        </w:tc>
      </w:tr>
      <w:tr>
        <w:tc>
          <w:tcPr>
            <w:tcW w:type="dxa" w:w="1497"/>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Scale</w:t>
            </w:r>
          </w:p>
        </w:tc>
        <w:tc>
          <w:tcPr>
            <w:tcW w:type="dxa" w:w="3369"/>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All must-pass clear; weighted ≥ 3.5</w:t>
            </w:r>
          </w:p>
        </w:tc>
        <w:tc>
          <w:tcPr>
            <w:tcW w:type="dxa" w:w="4494"/>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Scale budget released to the pre-agreed figure</w:t>
            </w:r>
          </w:p>
          <w:p>
            <w:pPr>
              <w:spacing w:after="0" w:line="260"/>
            </w:pPr>
            <w:r>
              <w:rPr>
                <w:rFonts w:ascii="Calibri" w:cs="Calibri" w:eastAsia="Calibri" w:hAnsi="Calibri"/>
                <w:color w:val="1A1A1A"/>
                <w:sz w:val="21"/>
                <w:szCs w:val="21"/>
              </w:rPr>
              <w:t xml:space="preserve">Program team stood up within 30 days</w:t>
            </w:r>
          </w:p>
          <w:p>
            <w:pPr>
              <w:spacing w:after="0" w:line="260"/>
            </w:pPr>
            <w:r>
              <w:rPr>
                <w:rFonts w:ascii="Calibri" w:cs="Calibri" w:eastAsia="Calibri" w:hAnsi="Calibri"/>
                <w:color w:val="1A1A1A"/>
                <w:sz w:val="21"/>
                <w:szCs w:val="21"/>
              </w:rPr>
              <w:t xml:space="preserve">Next loan-type wave selected</w:t>
            </w:r>
          </w:p>
          <w:p>
            <w:pPr>
              <w:spacing w:after="0" w:line="260"/>
            </w:pPr>
            <w:r>
              <w:rPr>
                <w:rFonts w:ascii="Calibri" w:cs="Calibri" w:eastAsia="Calibri" w:hAnsi="Calibri"/>
                <w:color w:val="1A1A1A"/>
                <w:sz w:val="21"/>
                <w:szCs w:val="21"/>
              </w:rPr>
              <w:t xml:space="preserve">Studio converts to a permanent capability</w:t>
            </w:r>
          </w:p>
        </w:tc>
      </w:tr>
      <w:tr>
        <w:tc>
          <w:tcPr>
            <w:tcW w:type="dxa" w:w="1497"/>
            <w:shd w:fill="F2F6F8" w:color="auto" w:val="clear"/>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Narrow</w:t>
            </w:r>
          </w:p>
        </w:tc>
        <w:tc>
          <w:tcPr>
            <w:tcW w:type="dxa" w:w="3369"/>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Must-pass clear; value concentrated in part of the slice</w:t>
            </w:r>
          </w:p>
        </w:tc>
        <w:tc>
          <w:tcPr>
            <w:tcW w:type="dxa" w:w="4494"/>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Production use continues only where value was proven</w:t>
            </w:r>
          </w:p>
          <w:p>
            <w:pPr>
              <w:spacing w:after="0" w:line="260"/>
            </w:pPr>
            <w:r>
              <w:rPr>
                <w:rFonts w:ascii="Calibri" w:cs="Calibri" w:eastAsia="Calibri" w:hAnsi="Calibri"/>
                <w:color w:val="1A1A1A"/>
                <w:sz w:val="21"/>
                <w:szCs w:val="21"/>
              </w:rPr>
              <w:t xml:space="preserve">Contract right-sized to the narrower scope</w:t>
            </w:r>
          </w:p>
          <w:p>
            <w:pPr>
              <w:spacing w:after="0" w:line="260"/>
            </w:pPr>
            <w:r>
              <w:rPr>
                <w:rFonts w:ascii="Calibri" w:cs="Calibri" w:eastAsia="Calibri" w:hAnsi="Calibri"/>
                <w:color w:val="1A1A1A"/>
                <w:sz w:val="21"/>
                <w:szCs w:val="21"/>
              </w:rPr>
              <w:t xml:space="preserve">Re-decision date set within 6 months</w:t>
            </w:r>
          </w:p>
        </w:tc>
      </w:tr>
      <w:tr>
        <w:tc>
          <w:tcPr>
            <w:tcW w:type="dxa" w:w="1497"/>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Extend</w:t>
            </w:r>
          </w:p>
        </w:tc>
        <w:tc>
          <w:tcPr>
            <w:tcW w:type="dxa" w:w="3369"/>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Evidence genuinely inconclusive, not disappointing</w:t>
            </w:r>
          </w:p>
        </w:tc>
        <w:tc>
          <w:tcPr>
            <w:tcW w:type="dxa" w:w="4494"/>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One extension only, maximum 60 days</w:t>
            </w:r>
          </w:p>
          <w:p>
            <w:pPr>
              <w:spacing w:after="0" w:line="260"/>
            </w:pPr>
            <w:r>
              <w:rPr>
                <w:rFonts w:ascii="Calibri" w:cs="Calibri" w:eastAsia="Calibri" w:hAnsi="Calibri"/>
                <w:color w:val="1A1A1A"/>
                <w:sz w:val="21"/>
                <w:szCs w:val="21"/>
              </w:rPr>
              <w:t xml:space="preserve">Written statement of what will be different</w:t>
            </w:r>
          </w:p>
          <w:p>
            <w:pPr>
              <w:spacing w:after="0" w:line="260"/>
            </w:pPr>
            <w:r>
              <w:rPr>
                <w:rFonts w:ascii="Calibri" w:cs="Calibri" w:eastAsia="Calibri" w:hAnsi="Calibri"/>
                <w:color w:val="1A1A1A"/>
                <w:sz w:val="21"/>
                <w:szCs w:val="21"/>
              </w:rPr>
              <w:t xml:space="preserve">Incremental funding only</w:t>
            </w:r>
          </w:p>
          <w:p>
            <w:pPr>
              <w:spacing w:after="0" w:line="260"/>
            </w:pPr>
            <w:r>
              <w:rPr>
                <w:rFonts w:ascii="Calibri" w:cs="Calibri" w:eastAsia="Calibri" w:hAnsi="Calibri"/>
                <w:color w:val="1A1A1A"/>
                <w:sz w:val="21"/>
                <w:szCs w:val="21"/>
              </w:rPr>
              <w:t xml:space="preserve">Second extension is not available</w:t>
            </w:r>
          </w:p>
        </w:tc>
      </w:tr>
      <w:tr>
        <w:tc>
          <w:tcPr>
            <w:tcW w:type="dxa" w:w="1497"/>
            <w:shd w:fill="F2F6F8" w:color="auto" w:val="clear"/>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Stop</w:t>
            </w:r>
          </w:p>
        </w:tc>
        <w:tc>
          <w:tcPr>
            <w:tcW w:type="dxa" w:w="3369"/>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Any must-pass fails, or weighted &lt; 2.5</w:t>
            </w:r>
          </w:p>
        </w:tc>
        <w:tc>
          <w:tcPr>
            <w:tcW w:type="dxa" w:w="4494"/>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Production use ends on a defined date</w:t>
            </w:r>
          </w:p>
          <w:p>
            <w:pPr>
              <w:spacing w:after="0" w:line="260"/>
            </w:pPr>
            <w:r>
              <w:rPr>
                <w:rFonts w:ascii="Calibri" w:cs="Calibri" w:eastAsia="Calibri" w:hAnsi="Calibri"/>
                <w:color w:val="1A1A1A"/>
                <w:sz w:val="21"/>
                <w:szCs w:val="21"/>
              </w:rPr>
              <w:t xml:space="preserve">Contract exit and data return executed per SOW</w:t>
            </w:r>
          </w:p>
          <w:p>
            <w:pPr>
              <w:spacing w:after="0" w:line="260"/>
            </w:pPr>
            <w:r>
              <w:rPr>
                <w:rFonts w:ascii="Calibri" w:cs="Calibri" w:eastAsia="Calibri" w:hAnsi="Calibri"/>
                <w:color w:val="1A1A1A"/>
                <w:sz w:val="21"/>
                <w:szCs w:val="21"/>
              </w:rPr>
              <w:t xml:space="preserve">Findings written up and published internally</w:t>
            </w:r>
          </w:p>
          <w:p>
            <w:pPr>
              <w:spacing w:after="0" w:line="260"/>
            </w:pPr>
            <w:r>
              <w:rPr>
                <w:rFonts w:ascii="Calibri" w:cs="Calibri" w:eastAsia="Calibri" w:hAnsi="Calibri"/>
                <w:color w:val="1A1A1A"/>
                <w:sz w:val="21"/>
                <w:szCs w:val="21"/>
              </w:rPr>
              <w:t xml:space="preserve">Team returns to BAU with recognition</w:t>
            </w:r>
          </w:p>
        </w:tc>
      </w:tr>
    </w:tbl>
    <w:p>
      <w:pPr>
        <w:spacing w:after="160"/>
      </w:pPr>
    </w:p>
    <w:p>
      <w:pPr>
        <w:spacing w:after="80" w:before="200"/>
      </w:pPr>
      <w:r>
        <w:rPr>
          <w:rFonts w:ascii="Calibri" w:cs="Calibri" w:eastAsia="Calibri" w:hAnsi="Calibri"/>
          <w:b/>
          <w:bCs/>
          <w:color w:val="0E3A4F"/>
          <w:sz w:val="22"/>
          <w:szCs w:val="22"/>
        </w:rPr>
        <w:t xml:space="preserve">Decision hygiene</w:t>
      </w:r>
    </w:p>
    <w:p>
      <w:pPr>
        <w:pStyle w:val="ListParagraph"/>
        <w:numPr>
          <w:ilvl w:val="0"/>
          <w:numId w:val="3"/>
        </w:numPr>
        <w:spacing w:after="80" w:line="276"/>
      </w:pPr>
      <w:r>
        <w:rPr>
          <w:rFonts w:ascii="Calibri" w:cs="Calibri" w:eastAsia="Calibri" w:hAnsi="Calibri"/>
          <w:color w:val="1A1A1A"/>
          <w:sz w:val="21"/>
          <w:szCs w:val="21"/>
        </w:rPr>
        <w:t xml:space="preserve">Evidence pack circulated </w:t>
      </w:r>
      <w:r>
        <w:rPr>
          <w:rFonts w:ascii="Calibri" w:cs="Calibri" w:eastAsia="Calibri" w:hAnsi="Calibri"/>
          <w:b/>
          <w:bCs/>
          <w:color w:val="1A1A1A"/>
          <w:sz w:val="21"/>
          <w:szCs w:val="21"/>
        </w:rPr>
        <w:t xml:space="preserve">48 hours</w:t>
      </w:r>
      <w:r>
        <w:rPr>
          <w:rFonts w:ascii="Calibri" w:cs="Calibri" w:eastAsia="Calibri" w:hAnsi="Calibri"/>
          <w:color w:val="1A1A1A"/>
          <w:sz w:val="21"/>
          <w:szCs w:val="21"/>
        </w:rPr>
        <w:t xml:space="preserve"> before the decision meeting; no new material introduced in the room</w:t>
      </w:r>
    </w:p>
    <w:p>
      <w:pPr>
        <w:pStyle w:val="ListParagraph"/>
        <w:numPr>
          <w:ilvl w:val="0"/>
          <w:numId w:val="3"/>
        </w:numPr>
        <w:spacing w:after="80" w:line="276"/>
      </w:pPr>
      <w:r>
        <w:rPr>
          <w:rFonts w:ascii="Calibri" w:cs="Calibri" w:eastAsia="Calibri" w:hAnsi="Calibri"/>
          <w:color w:val="1A1A1A"/>
          <w:sz w:val="21"/>
          <w:szCs w:val="21"/>
        </w:rPr>
        <w:t xml:space="preserve">Studio Lead presents and answers questions but does not vote — the builder does not grade the build</w:t>
      </w:r>
    </w:p>
    <w:p>
      <w:pPr>
        <w:pStyle w:val="ListParagraph"/>
        <w:numPr>
          <w:ilvl w:val="0"/>
          <w:numId w:val="3"/>
        </w:numPr>
        <w:spacing w:after="80" w:line="276"/>
      </w:pPr>
      <w:r>
        <w:rPr>
          <w:rFonts w:ascii="Calibri" w:cs="Calibri" w:eastAsia="Calibri" w:hAnsi="Calibri"/>
          <w:color w:val="1A1A1A"/>
          <w:sz w:val="21"/>
          <w:szCs w:val="21"/>
        </w:rPr>
        <w:t xml:space="preserve">JazzX is not present and does not see the evidence pack before the decision</w:t>
      </w:r>
    </w:p>
    <w:p>
      <w:pPr>
        <w:pStyle w:val="ListParagraph"/>
        <w:numPr>
          <w:ilvl w:val="0"/>
          <w:numId w:val="3"/>
        </w:numPr>
        <w:spacing w:after="80" w:line="276"/>
      </w:pPr>
      <w:r>
        <w:rPr>
          <w:rFonts w:ascii="Calibri" w:cs="Calibri" w:eastAsia="Calibri" w:hAnsi="Calibri"/>
          <w:color w:val="1A1A1A"/>
          <w:sz w:val="21"/>
          <w:szCs w:val="21"/>
        </w:rPr>
        <w:t xml:space="preserve">Dissent is recorded by name in the decision record, whatever the outcome</w:t>
      </w:r>
    </w:p>
    <w:p>
      <w:pPr>
        <w:pStyle w:val="ListParagraph"/>
        <w:numPr>
          <w:ilvl w:val="0"/>
          <w:numId w:val="3"/>
        </w:numPr>
        <w:spacing w:after="80" w:line="276"/>
      </w:pPr>
      <w:r>
        <w:rPr>
          <w:rFonts w:ascii="Calibri" w:cs="Calibri" w:eastAsia="Calibri" w:hAnsi="Calibri"/>
          <w:color w:val="1A1A1A"/>
          <w:sz w:val="21"/>
          <w:szCs w:val="21"/>
        </w:rPr>
        <w:t xml:space="preserve">The decision is minuted the same day and communicated to all staff within one week</w:t>
      </w:r>
    </w:p>
    <w:p>
      <w:pPr>
        <w:pStyle w:val="ListParagraph"/>
        <w:numPr>
          <w:ilvl w:val="0"/>
          <w:numId w:val="3"/>
        </w:numPr>
        <w:spacing w:after="80" w:line="276"/>
      </w:pPr>
      <w:r>
        <w:rPr>
          <w:rFonts w:ascii="Calibri" w:cs="Calibri" w:eastAsia="Calibri" w:hAnsi="Calibri"/>
          <w:color w:val="1A1A1A"/>
          <w:sz w:val="21"/>
          <w:szCs w:val="21"/>
        </w:rPr>
        <w:t xml:space="preserve">A Stop is written up and circulated as a legitimate, valuable outcome — a studio that cannot produce a no-go was never producing evidence</w:t>
      </w:r>
    </w:p>
    <w:p>
      <w:pPr>
        <w:pBdr>
          <w:bottom w:val="single" w:color="C9D6DC" w:sz="6" w:space="6"/>
        </w:pBdr>
        <w:spacing w:after="140" w:before="280"/>
      </w:pPr>
      <w:r>
        <w:rPr>
          <w:rFonts w:ascii="Calibri" w:cs="Calibri" w:eastAsia="Calibri" w:hAnsi="Calibri"/>
          <w:b/>
          <w:bCs/>
          <w:color w:val="1B6B7C"/>
          <w:spacing w:val="20"/>
          <w:sz w:val="20"/>
          <w:szCs w:val="20"/>
        </w:rPr>
        <w:t xml:space="preserve">ARTIFACTS &amp; TEMPLATES</w:t>
      </w:r>
    </w:p>
    <w:p>
      <w:pPr>
        <w:spacing w:after="80" w:before="200"/>
      </w:pPr>
      <w:r>
        <w:rPr>
          <w:rFonts w:ascii="Calibri" w:cs="Calibri" w:eastAsia="Calibri" w:hAnsi="Calibri"/>
          <w:b/>
          <w:bCs/>
          <w:color w:val="0E3A4F"/>
          <w:sz w:val="22"/>
          <w:szCs w:val="22"/>
        </w:rPr>
        <w:t xml:space="preserve">Decision record — completed in the G4 meeting</w:t>
      </w:r>
    </w:p>
    <w:tbl>
      <w:tblPr>
        <w:tblW w:type="dxa" w:w="9360"/>
        <w:tblBorders>
          <w:top w:val="single" w:color="C9D6DC" w:sz="2"/>
          <w:left w:val="single" w:color="C9D6DC" w:sz="2"/>
          <w:bottom w:val="single" w:color="C9D6DC" w:sz="2"/>
          <w:right w:val="single" w:color="C9D6DC" w:sz="2"/>
          <w:insideH w:val="single" w:color="C9D6DC" w:sz="2"/>
          <w:insideV w:val="single" w:color="C9D6DC" w:sz="2"/>
        </w:tblBorders>
      </w:tblPr>
      <w:tblGrid>
        <w:gridCol w:w="3556"/>
        <w:gridCol w:w="5804"/>
      </w:tblGrid>
      <w:tr>
        <w:trPr>
          <w:tblHeader/>
        </w:trPr>
        <w:tc>
          <w:tcPr>
            <w:tcW w:type="dxa" w:w="3556"/>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Field</w:t>
            </w:r>
          </w:p>
        </w:tc>
        <w:tc>
          <w:tcPr>
            <w:tcW w:type="dxa" w:w="5804"/>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Entry</w:t>
            </w:r>
          </w:p>
        </w:tc>
      </w:tr>
      <w:tr>
        <w:tc>
          <w:tcPr>
            <w:tcW w:type="dxa" w:w="3556"/>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Date and attendees</w:t>
            </w:r>
          </w:p>
        </w:tc>
        <w:tc>
          <w:tcPr>
            <w:tcW w:type="dxa" w:w="5804"/>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r>
      <w:tr>
        <w:tc>
          <w:tcPr>
            <w:tcW w:type="dxa" w:w="3556"/>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Must-pass results (8 of 8?)</w:t>
            </w:r>
          </w:p>
        </w:tc>
        <w:tc>
          <w:tcPr>
            <w:tcW w:type="dxa" w:w="5804"/>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r>
      <w:tr>
        <w:tc>
          <w:tcPr>
            <w:tcW w:type="dxa" w:w="3556"/>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Weighted score</w:t>
            </w:r>
          </w:p>
        </w:tc>
        <w:tc>
          <w:tcPr>
            <w:tcW w:type="dxa" w:w="5804"/>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r>
      <w:tr>
        <w:tc>
          <w:tcPr>
            <w:tcW w:type="dxa" w:w="3556"/>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Outcome (Scale / Narrow / Extend / Stop)</w:t>
            </w:r>
          </w:p>
        </w:tc>
        <w:tc>
          <w:tcPr>
            <w:tcW w:type="dxa" w:w="5804"/>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r>
      <w:tr>
        <w:tc>
          <w:tcPr>
            <w:tcW w:type="dxa" w:w="3556"/>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Rationale in three sentences</w:t>
            </w:r>
          </w:p>
        </w:tc>
        <w:tc>
          <w:tcPr>
            <w:tcW w:type="dxa" w:w="5804"/>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r>
      <w:tr>
        <w:tc>
          <w:tcPr>
            <w:tcW w:type="dxa" w:w="3556"/>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Dissent recorded (by name)</w:t>
            </w:r>
          </w:p>
        </w:tc>
        <w:tc>
          <w:tcPr>
            <w:tcW w:type="dxa" w:w="5804"/>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r>
      <w:tr>
        <w:tc>
          <w:tcPr>
            <w:tcW w:type="dxa" w:w="3556"/>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Consequence triggered</w:t>
            </w:r>
          </w:p>
        </w:tc>
        <w:tc>
          <w:tcPr>
            <w:tcW w:type="dxa" w:w="5804"/>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r>
      <w:tr>
        <w:tc>
          <w:tcPr>
            <w:tcW w:type="dxa" w:w="3556"/>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Next review date</w:t>
            </w:r>
          </w:p>
        </w:tc>
        <w:tc>
          <w:tcPr>
            <w:tcW w:type="dxa" w:w="5804"/>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r>
      <w:tr>
        <w:tc>
          <w:tcPr>
            <w:tcW w:type="dxa" w:w="3556"/>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Sponsor signature</w:t>
            </w:r>
          </w:p>
        </w:tc>
        <w:tc>
          <w:tcPr>
            <w:tcW w:type="dxa" w:w="5804"/>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r>
    </w:tbl>
    <w:p>
      <w:pPr>
        <w:spacing w:after="160"/>
      </w:pPr>
    </w:p>
    <w:p>
      <w:pPr>
        <w:spacing w:after="80" w:before="200"/>
      </w:pPr>
      <w:r>
        <w:rPr>
          <w:rFonts w:ascii="Calibri" w:cs="Calibri" w:eastAsia="Calibri" w:hAnsi="Calibri"/>
          <w:b/>
          <w:bCs/>
          <w:color w:val="0E3A4F"/>
          <w:sz w:val="22"/>
          <w:szCs w:val="22"/>
        </w:rPr>
        <w:t xml:space="preserve">Pre-commitment — agreed at G0, before anyone is invested in the answer</w:t>
      </w:r>
    </w:p>
    <w:tbl>
      <w:tblPr>
        <w:tblW w:type="dxa" w:w="9360"/>
        <w:tblBorders>
          <w:top w:val="single" w:color="C9D6DC" w:sz="2"/>
          <w:left w:val="single" w:color="C9D6DC" w:sz="2"/>
          <w:bottom w:val="single" w:color="C9D6DC" w:sz="2"/>
          <w:right w:val="single" w:color="C9D6DC" w:sz="2"/>
          <w:insideH w:val="single" w:color="C9D6DC" w:sz="2"/>
          <w:insideV w:val="single" w:color="C9D6DC" w:sz="2"/>
        </w:tblBorders>
      </w:tblPr>
      <w:tblGrid>
        <w:gridCol w:w="2246"/>
        <w:gridCol w:w="7114"/>
      </w:tblGrid>
      <w:tr>
        <w:trPr>
          <w:tblHeader/>
        </w:trPr>
        <w:tc>
          <w:tcPr>
            <w:tcW w:type="dxa" w:w="2246"/>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If the outcome is</w:t>
            </w:r>
          </w:p>
        </w:tc>
        <w:tc>
          <w:tcPr>
            <w:tcW w:type="dxa" w:w="7114"/>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We have already agreed to</w:t>
            </w:r>
          </w:p>
        </w:tc>
      </w:tr>
      <w:tr>
        <w:tc>
          <w:tcPr>
            <w:tcW w:type="dxa" w:w="2246"/>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Scale</w:t>
            </w:r>
          </w:p>
        </w:tc>
        <w:tc>
          <w:tcPr>
            <w:tcW w:type="dxa" w:w="7114"/>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A scale budget envelope of $___ and a named program owner</w:t>
            </w:r>
          </w:p>
        </w:tc>
      </w:tr>
      <w:tr>
        <w:tc>
          <w:tcPr>
            <w:tcW w:type="dxa" w:w="2246"/>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Narrow</w:t>
            </w:r>
          </w:p>
        </w:tc>
        <w:tc>
          <w:tcPr>
            <w:tcW w:type="dxa" w:w="7114"/>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A contract structure that permits a reduced scope without penalty</w:t>
            </w:r>
          </w:p>
        </w:tc>
      </w:tr>
      <w:tr>
        <w:tc>
          <w:tcPr>
            <w:tcW w:type="dxa" w:w="2246"/>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Extend</w:t>
            </w:r>
          </w:p>
        </w:tc>
        <w:tc>
          <w:tcPr>
            <w:tcW w:type="dxa" w:w="7114"/>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An incremental funding limit of $___ and a hard stop date</w:t>
            </w:r>
          </w:p>
        </w:tc>
      </w:tr>
      <w:tr>
        <w:tc>
          <w:tcPr>
            <w:tcW w:type="dxa" w:w="2246"/>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Stop</w:t>
            </w:r>
          </w:p>
        </w:tc>
        <w:tc>
          <w:tcPr>
            <w:tcW w:type="dxa" w:w="7114"/>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Contract exit terms, data return within ___ days, and no reputational cost to the team</w:t>
            </w:r>
          </w:p>
        </w:tc>
      </w:tr>
    </w:tbl>
    <w:p>
      <w:pPr>
        <w:spacing w:after="160" w:before="80"/>
      </w:pPr>
      <w:r>
        <w:rPr>
          <w:rFonts w:ascii="Calibri" w:cs="Calibri" w:eastAsia="Calibri" w:hAnsi="Calibri"/>
          <w:i/>
          <w:iCs/>
          <w:color w:val="5A6B73"/>
          <w:sz w:val="18"/>
          <w:szCs w:val="18"/>
        </w:rPr>
        <w:t xml:space="preserve">If the Stop row cannot be filled in at G0, the organisation is not running a studio — it is running a rollout with a pilot label.</w:t>
      </w:r>
    </w:p>
    <w:p>
      <w:pPr>
        <w:pBdr>
          <w:bottom w:val="single" w:color="C9D6DC" w:sz="6" w:space="6"/>
        </w:pBdr>
        <w:spacing w:after="140" w:before="280"/>
      </w:pPr>
      <w:r>
        <w:rPr>
          <w:rFonts w:ascii="Calibri" w:cs="Calibri" w:eastAsia="Calibri" w:hAnsi="Calibri"/>
          <w:b/>
          <w:bCs/>
          <w:color w:val="1B6B7C"/>
          <w:spacing w:val="20"/>
          <w:sz w:val="20"/>
          <w:szCs w:val="20"/>
        </w:rPr>
        <w:t xml:space="preserve">CADENCE</w:t>
      </w:r>
    </w:p>
    <w:tbl>
      <w:tblPr>
        <w:tblW w:type="dxa" w:w="9360"/>
        <w:tblBorders>
          <w:top w:val="single" w:color="C9D6DC" w:sz="2"/>
          <w:left w:val="single" w:color="C9D6DC" w:sz="2"/>
          <w:bottom w:val="single" w:color="C9D6DC" w:sz="2"/>
          <w:right w:val="single" w:color="C9D6DC" w:sz="2"/>
          <w:insideH w:val="single" w:color="C9D6DC" w:sz="2"/>
          <w:insideV w:val="single" w:color="C9D6DC" w:sz="2"/>
        </w:tblBorders>
      </w:tblPr>
      <w:tblGrid>
        <w:gridCol w:w="2059"/>
        <w:gridCol w:w="4492"/>
        <w:gridCol w:w="2809"/>
      </w:tblGrid>
      <w:tr>
        <w:trPr>
          <w:tblHeader/>
        </w:trPr>
        <w:tc>
          <w:tcPr>
            <w:tcW w:type="dxa" w:w="2059"/>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When</w:t>
            </w:r>
          </w:p>
        </w:tc>
        <w:tc>
          <w:tcPr>
            <w:tcW w:type="dxa" w:w="4492"/>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What happens</w:t>
            </w:r>
          </w:p>
        </w:tc>
        <w:tc>
          <w:tcPr>
            <w:tcW w:type="dxa" w:w="2809"/>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Output</w:t>
            </w:r>
          </w:p>
        </w:tc>
      </w:tr>
      <w:tr>
        <w:tc>
          <w:tcPr>
            <w:tcW w:type="dxa" w:w="2059"/>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At G0</w:t>
            </w:r>
          </w:p>
        </w:tc>
        <w:tc>
          <w:tcPr>
            <w:tcW w:type="dxa" w:w="449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Criteria drafted; pre-commitments agreed and funded</w:t>
            </w:r>
          </w:p>
        </w:tc>
        <w:tc>
          <w:tcPr>
            <w:tcW w:type="dxa" w:w="2809"/>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Draft criteria</w:t>
            </w:r>
          </w:p>
        </w:tc>
      </w:tr>
      <w:tr>
        <w:tc>
          <w:tcPr>
            <w:tcW w:type="dxa" w:w="2059"/>
            <w:shd w:fill="F2F6F8" w:color="auto" w:val="clear"/>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Before G2</w:t>
            </w:r>
          </w:p>
        </w:tc>
        <w:tc>
          <w:tcPr>
            <w:tcW w:type="dxa" w:w="449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Criteria and thresholds signed by the Sponsor, dated</w:t>
            </w:r>
          </w:p>
        </w:tc>
        <w:tc>
          <w:tcPr>
            <w:tcW w:type="dxa" w:w="2809"/>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Signed decision rule</w:t>
            </w:r>
          </w:p>
        </w:tc>
      </w:tr>
      <w:tr>
        <w:tc>
          <w:tcPr>
            <w:tcW w:type="dxa" w:w="2059"/>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At G3</w:t>
            </w:r>
          </w:p>
        </w:tc>
        <w:tc>
          <w:tcPr>
            <w:tcW w:type="dxa" w:w="449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Dry run of the decision against interim evidence</w:t>
            </w:r>
          </w:p>
        </w:tc>
        <w:tc>
          <w:tcPr>
            <w:tcW w:type="dxa" w:w="2809"/>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Gaps in evidence identified with time to fix</w:t>
            </w:r>
          </w:p>
        </w:tc>
      </w:tr>
      <w:tr>
        <w:tc>
          <w:tcPr>
            <w:tcW w:type="dxa" w:w="2059"/>
            <w:shd w:fill="F2F6F8" w:color="auto" w:val="clear"/>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G4 − 48h</w:t>
            </w:r>
          </w:p>
        </w:tc>
        <w:tc>
          <w:tcPr>
            <w:tcW w:type="dxa" w:w="449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Evidence pack circulated</w:t>
            </w:r>
          </w:p>
        </w:tc>
        <w:tc>
          <w:tcPr>
            <w:tcW w:type="dxa" w:w="2809"/>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Pack issued</w:t>
            </w:r>
          </w:p>
        </w:tc>
      </w:tr>
      <w:tr>
        <w:tc>
          <w:tcPr>
            <w:tcW w:type="dxa" w:w="2059"/>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At G4</w:t>
            </w:r>
          </w:p>
        </w:tc>
        <w:tc>
          <w:tcPr>
            <w:tcW w:type="dxa" w:w="449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Decision made, recorded, consequence triggered</w:t>
            </w:r>
          </w:p>
        </w:tc>
        <w:tc>
          <w:tcPr>
            <w:tcW w:type="dxa" w:w="2809"/>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Signed decision record</w:t>
            </w:r>
          </w:p>
        </w:tc>
      </w:tr>
      <w:tr>
        <w:tc>
          <w:tcPr>
            <w:tcW w:type="dxa" w:w="2059"/>
            <w:shd w:fill="F2F6F8" w:color="auto" w:val="clear"/>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G4 + 7 days</w:t>
            </w:r>
          </w:p>
        </w:tc>
        <w:tc>
          <w:tcPr>
            <w:tcW w:type="dxa" w:w="449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Outcome communicated to all staff</w:t>
            </w:r>
          </w:p>
        </w:tc>
        <w:tc>
          <w:tcPr>
            <w:tcW w:type="dxa" w:w="2809"/>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Closing communication</w:t>
            </w:r>
          </w:p>
        </w:tc>
      </w:tr>
    </w:tbl>
    <w:p>
      <w:pPr>
        <w:spacing w:after="120"/>
      </w:pPr>
    </w:p>
    <w:p>
      <w:pPr>
        <w:pBdr>
          <w:bottom w:val="single" w:color="C9D6DC" w:sz="6" w:space="6"/>
        </w:pBdr>
        <w:spacing w:after="140" w:before="280"/>
      </w:pPr>
      <w:r>
        <w:rPr>
          <w:rFonts w:ascii="Calibri" w:cs="Calibri" w:eastAsia="Calibri" w:hAnsi="Calibri"/>
          <w:b/>
          <w:bCs/>
          <w:color w:val="1B6B7C"/>
          <w:spacing w:val="20"/>
          <w:sz w:val="20"/>
          <w:szCs w:val="20"/>
        </w:rPr>
        <w:t xml:space="preserve">DEFINITION OF DONE</w:t>
      </w:r>
    </w:p>
    <w:p>
      <w:pPr>
        <w:pStyle w:val="ListParagraph"/>
        <w:numPr>
          <w:ilvl w:val="0"/>
          <w:numId w:val="3"/>
        </w:numPr>
        <w:spacing w:after="80" w:line="276"/>
      </w:pPr>
      <w:r>
        <w:rPr>
          <w:rFonts w:ascii="Calibri" w:cs="Calibri" w:eastAsia="Calibri" w:hAnsi="Calibri"/>
          <w:color w:val="1A1A1A"/>
          <w:sz w:val="21"/>
          <w:szCs w:val="21"/>
        </w:rPr>
        <w:t xml:space="preserve">Criteria signed and dated before Gate 2 evidence was available</w:t>
      </w:r>
    </w:p>
    <w:p>
      <w:pPr>
        <w:pStyle w:val="ListParagraph"/>
        <w:numPr>
          <w:ilvl w:val="0"/>
          <w:numId w:val="3"/>
        </w:numPr>
        <w:spacing w:after="80" w:line="276"/>
      </w:pPr>
      <w:r>
        <w:rPr>
          <w:rFonts w:ascii="Calibri" w:cs="Calibri" w:eastAsia="Calibri" w:hAnsi="Calibri"/>
          <w:color w:val="1A1A1A"/>
          <w:sz w:val="21"/>
          <w:szCs w:val="21"/>
        </w:rPr>
        <w:t xml:space="preserve">All four outcomes pre-costed and pre-agreed at G0, including Stop</w:t>
      </w:r>
    </w:p>
    <w:p>
      <w:pPr>
        <w:pStyle w:val="ListParagraph"/>
        <w:numPr>
          <w:ilvl w:val="0"/>
          <w:numId w:val="3"/>
        </w:numPr>
        <w:spacing w:after="80" w:line="276"/>
      </w:pPr>
      <w:r>
        <w:rPr>
          <w:rFonts w:ascii="Calibri" w:cs="Calibri" w:eastAsia="Calibri" w:hAnsi="Calibri"/>
          <w:color w:val="1A1A1A"/>
          <w:sz w:val="21"/>
          <w:szCs w:val="21"/>
        </w:rPr>
        <w:t xml:space="preserve">Every must-pass criterion has a named owner and a named evidence artifact</w:t>
      </w:r>
    </w:p>
    <w:p>
      <w:pPr>
        <w:pStyle w:val="ListParagraph"/>
        <w:numPr>
          <w:ilvl w:val="0"/>
          <w:numId w:val="3"/>
        </w:numPr>
        <w:spacing w:after="80" w:line="276"/>
      </w:pPr>
      <w:r>
        <w:rPr>
          <w:rFonts w:ascii="Calibri" w:cs="Calibri" w:eastAsia="Calibri" w:hAnsi="Calibri"/>
          <w:color w:val="1A1A1A"/>
          <w:sz w:val="21"/>
          <w:szCs w:val="21"/>
        </w:rPr>
        <w:t xml:space="preserve">Decision recorded with rationale and any dissent, same day</w:t>
      </w:r>
    </w:p>
    <w:p>
      <w:pPr>
        <w:pStyle w:val="ListParagraph"/>
        <w:numPr>
          <w:ilvl w:val="0"/>
          <w:numId w:val="3"/>
        </w:numPr>
        <w:spacing w:after="80" w:line="276"/>
      </w:pPr>
      <w:r>
        <w:rPr>
          <w:rFonts w:ascii="Calibri" w:cs="Calibri" w:eastAsia="Calibri" w:hAnsi="Calibri"/>
          <w:color w:val="1A1A1A"/>
          <w:sz w:val="21"/>
          <w:szCs w:val="21"/>
        </w:rPr>
        <w:t xml:space="preserve">Consequence actually triggered within the committed timeframe</w:t>
      </w:r>
    </w:p>
    <w:p>
      <w:pPr>
        <w:pBdr>
          <w:bottom w:val="single" w:color="C9D6DC" w:sz="6" w:space="6"/>
        </w:pBdr>
        <w:spacing w:after="140" w:before="280"/>
      </w:pPr>
      <w:r>
        <w:rPr>
          <w:rFonts w:ascii="Calibri" w:cs="Calibri" w:eastAsia="Calibri" w:hAnsi="Calibri"/>
          <w:b/>
          <w:bCs/>
          <w:color w:val="1B6B7C"/>
          <w:spacing w:val="20"/>
          <w:sz w:val="20"/>
          <w:szCs w:val="20"/>
        </w:rPr>
        <w:t xml:space="preserve">RISKS &amp; ESCALATION</w:t>
      </w:r>
    </w:p>
    <w:tbl>
      <w:tblPr>
        <w:tblW w:type="dxa" w:w="9360"/>
        <w:tblBorders>
          <w:top w:val="single" w:color="C9D6DC" w:sz="2"/>
          <w:left w:val="single" w:color="C9D6DC" w:sz="2"/>
          <w:bottom w:val="single" w:color="C9D6DC" w:sz="2"/>
          <w:right w:val="single" w:color="C9D6DC" w:sz="2"/>
          <w:insideH w:val="single" w:color="C9D6DC" w:sz="2"/>
          <w:insideV w:val="single" w:color="C9D6DC" w:sz="2"/>
        </w:tblBorders>
      </w:tblPr>
      <w:tblGrid>
        <w:gridCol w:w="2808"/>
        <w:gridCol w:w="4212"/>
        <w:gridCol w:w="2340"/>
      </w:tblGrid>
      <w:tr>
        <w:trPr>
          <w:tblHeader/>
        </w:trPr>
        <w:tc>
          <w:tcPr>
            <w:tcW w:type="dxa" w:w="2808"/>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Risk</w:t>
            </w:r>
          </w:p>
        </w:tc>
        <w:tc>
          <w:tcPr>
            <w:tcW w:type="dxa" w:w="4212"/>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Mitigation</w:t>
            </w:r>
          </w:p>
        </w:tc>
        <w:tc>
          <w:tcPr>
            <w:tcW w:type="dxa" w:w="2340"/>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Escalates to</w:t>
            </w:r>
          </w:p>
        </w:tc>
      </w:tr>
      <w:tr>
        <w:tc>
          <w:tcPr>
            <w:tcW w:type="dxa" w:w="2808"/>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Criteria are softened once results are visible</w:t>
            </w:r>
          </w:p>
        </w:tc>
        <w:tc>
          <w:tcPr>
            <w:tcW w:type="dxa" w:w="421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Signed and dated in advance, held by Finance; amendment requires a recorded Steering decision before evidence review</w:t>
            </w:r>
          </w:p>
        </w:tc>
        <w:tc>
          <w:tcPr>
            <w:tcW w:type="dxa" w:w="2340"/>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Executive Sponsor</w:t>
            </w:r>
          </w:p>
        </w:tc>
      </w:tr>
      <w:tr>
        <w:tc>
          <w:tcPr>
            <w:tcW w:type="dxa" w:w="2808"/>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Sunk cost drives a go despite a failed must-pass</w:t>
            </w:r>
          </w:p>
        </w:tc>
        <w:tc>
          <w:tcPr>
            <w:tcW w:type="dxa" w:w="421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Must-pass criteria are absolute by charter; control functions hold a block right</w:t>
            </w:r>
          </w:p>
        </w:tc>
        <w:tc>
          <w:tcPr>
            <w:tcW w:type="dxa" w:w="2340"/>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CRO</w:t>
            </w:r>
          </w:p>
        </w:tc>
      </w:tr>
      <w:tr>
        <w:tc>
          <w:tcPr>
            <w:tcW w:type="dxa" w:w="2808"/>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Extend used repeatedly, creating an indefinite pilot</w:t>
            </w:r>
          </w:p>
        </w:tc>
        <w:tc>
          <w:tcPr>
            <w:tcW w:type="dxa" w:w="421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One extension, 60 days maximum, written difference statement required</w:t>
            </w:r>
          </w:p>
        </w:tc>
        <w:tc>
          <w:tcPr>
            <w:tcW w:type="dxa" w:w="2340"/>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Steering Committee</w:t>
            </w:r>
          </w:p>
        </w:tc>
      </w:tr>
      <w:tr>
        <w:tc>
          <w:tcPr>
            <w:tcW w:type="dxa" w:w="2808"/>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Evidence pack arrives in the room and cannot be scrutinised</w:t>
            </w:r>
          </w:p>
        </w:tc>
        <w:tc>
          <w:tcPr>
            <w:tcW w:type="dxa" w:w="421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48-hour rule; no new material admitted in the meeting</w:t>
            </w:r>
          </w:p>
        </w:tc>
        <w:tc>
          <w:tcPr>
            <w:tcW w:type="dxa" w:w="2340"/>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Studio Lead</w:t>
            </w:r>
          </w:p>
        </w:tc>
      </w:tr>
      <w:tr>
        <w:tc>
          <w:tcPr>
            <w:tcW w:type="dxa" w:w="2808"/>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A no-go is treated as a team failure and nobody says it</w:t>
            </w:r>
          </w:p>
        </w:tc>
        <w:tc>
          <w:tcPr>
            <w:tcW w:type="dxa" w:w="421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Stop is pre-framed as a valid outcome; recognition committed regardless of result</w:t>
            </w:r>
          </w:p>
        </w:tc>
        <w:tc>
          <w:tcPr>
            <w:tcW w:type="dxa" w:w="2340"/>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Executive Sponsor</w:t>
            </w:r>
          </w:p>
        </w:tc>
      </w:tr>
      <w:tr>
        <w:tc>
          <w:tcPr>
            <w:tcW w:type="dxa" w:w="2808"/>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Vendor pressure applied late in the decision window</w:t>
            </w:r>
          </w:p>
        </w:tc>
        <w:tc>
          <w:tcPr>
            <w:tcW w:type="dxa" w:w="421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JazzX excluded from the decision and from the evidence pack; commercial conversations paused during G4 week</w:t>
            </w:r>
          </w:p>
        </w:tc>
        <w:tc>
          <w:tcPr>
            <w:tcW w:type="dxa" w:w="2340"/>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Executive Sponsor</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DC" w:sz="4" w:space="6"/>
      </w:pBdr>
    </w:pPr>
    <w:r>
      <w:rPr>
        <w:rFonts w:ascii="Calibri" w:cs="Calibri" w:eastAsia="Calibri" w:hAnsi="Calibri"/>
        <w:color w:val="5A6B73"/>
        <w:sz w:val="16"/>
        <w:szCs w:val="16"/>
      </w:rPr>
      <w:t xml:space="preserve">JazzX Design Studio — 90-Day Framework  │  Go / No-Go Decision Criteria   </w:t>
    </w:r>
    <w:r>
      <w:rPr>
        <w:rFonts w:ascii="Calibri" w:cs="Calibri" w:eastAsia="Calibri" w:hAnsi="Calibri"/>
        <w:color w:val="5A6B73"/>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rPr>
        <w:color w:val="1B6B7C"/>
        <w:sz w:val="21"/>
        <w:szCs w:val="21"/>
      </w:rPr>
    </w:lvl>
    <w:lvl w:ilvl="1" w15:tentative="1">
      <w:start w:val="1"/>
      <w:numFmt w:val="bullet"/>
      <w:lvlText w:val="○"/>
      <w:lvlJc w:val="left"/>
      <w:pPr>
        <w:ind w:left="763" w:hanging="259"/>
      </w:pPr>
      <w:rPr>
        <w:color w:val="5A6B73"/>
        <w:sz w:val="21"/>
        <w:szCs w:val="21"/>
      </w:rPr>
    </w:lvl>
    <w:lvl w:ilvl="2" w15:tentative="1">
      <w:start w:val="1"/>
      <w:numFmt w:val="bullet"/>
      <w:lvlText w:val="▪"/>
      <w:lvlJc w:val="left"/>
      <w:pPr>
        <w:ind w:left="1123" w:hanging="259"/>
      </w:pPr>
      <w:rPr>
        <w:color w:val="5A6B73"/>
        <w:sz w:val="21"/>
        <w:szCs w:val="21"/>
      </w:rPr>
    </w:lvl>
  </w:abstractNum>
  <w:abstractNum w:abstractNumId="3" w15:restartNumberingAfterBreak="0">
    <w:multiLevelType w:val="hybridMultilevel"/>
    <w:lvl w:ilvl="0" w15:tentative="1">
      <w:start w:val="1"/>
      <w:numFmt w:val="decimal"/>
      <w:lvlText w:val="%1."/>
      <w:lvlJc w:val="left"/>
      <w:pPr>
        <w:ind w:left="460" w:hanging="316"/>
      </w:pPr>
      <w:rPr>
        <w:b/>
        <w:bCs/>
        <w:color w:val="1B6B7C"/>
        <w:sz w:val="21"/>
        <w:szCs w:val="21"/>
      </w:rPr>
    </w:lvl>
    <w:lvl w:ilvl="1" w15:tentative="1">
      <w:start w:val="1"/>
      <w:numFmt w:val="lowerLetter"/>
      <w:lvlText w:val="%2."/>
      <w:lvlJc w:val="left"/>
      <w:pPr>
        <w:ind w:left="835" w:hanging="316"/>
      </w:pPr>
      <w:rPr>
        <w:color w:val="5A6B73"/>
        <w:sz w:val="21"/>
        <w:szCs w:val="21"/>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 / No-Go Decision Criteria</dc:title>
  <dc:creator>Design Studio Program Office</dc:creator>
  <dc:description>The decision rule, written and signed before anyone can see the answer.</dc:description>
  <cp:lastModifiedBy>Un-named</cp:lastModifiedBy>
  <cp:revision>1</cp:revision>
  <dcterms:created xsi:type="dcterms:W3CDTF">2026-08-04T00:29:14.782Z</dcterms:created>
  <dcterms:modified xsi:type="dcterms:W3CDTF">2026-08-04T00:29:14.782Z</dcterms:modified>
</cp:coreProperties>
</file>

<file path=docProps/custom.xml><?xml version="1.0" encoding="utf-8"?>
<Properties xmlns="http://schemas.openxmlformats.org/officeDocument/2006/custom-properties" xmlns:vt="http://schemas.openxmlformats.org/officeDocument/2006/docPropsVTypes"/>
</file>