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TECHNOLOGY — USE CURRENT INTEGRATIONS  │  ONE-PAGER 19</w:t>
      </w:r>
    </w:p>
    <w:p>
      <w:pPr>
        <w:spacing w:after="60"/>
      </w:pPr>
      <w:r>
        <w:rPr>
          <w:rFonts w:ascii="Calibri" w:cs="Calibri" w:eastAsia="Calibri" w:hAnsi="Calibri"/>
          <w:b/>
          <w:bCs/>
          <w:color w:val="0E3A4F"/>
          <w:sz w:val="40"/>
          <w:szCs w:val="40"/>
        </w:rPr>
        <w:t xml:space="preserve">Enabling Users to Trigger Loans to Jazz</w:t>
      </w:r>
    </w:p>
    <w:p>
      <w:pPr>
        <w:pBdr>
          <w:bottom w:val="single" w:color="1B6B7C" w:sz="12" w:space="8"/>
        </w:pBdr>
        <w:spacing w:after="200"/>
      </w:pPr>
      <w:r>
        <w:rPr>
          <w:rFonts w:ascii="Calibri" w:cs="Calibri" w:eastAsia="Calibri" w:hAnsi="Calibri"/>
          <w:i/>
          <w:iCs/>
          <w:color w:val="5A6B73"/>
          <w:sz w:val="21"/>
          <w:szCs w:val="21"/>
        </w:rPr>
        <w:t xml:space="preserve">How a loan gets into the studio — and why letting people choose is the fastest way to ruin the evidence.</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define how loans enter Jazz: what causes a loan to be sent, who is entitled to send it, what is sent, and what happens when the send fails. The trigger looks like a minor piece of plumbing and is in fact the mechanism that determines whether the studio's sample is representative. Get it wrong and every accuracy number the studio produces is measuring the wrong population.</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 integration engineer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builds the trigger</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cohort integrity</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Operations</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workflow fit and user experience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approves what data leaves our systems</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monitors cohort composition</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engagement lead</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receiving-side contract</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The primary trigger is </w:t>
      </w:r>
      <w:r>
        <w:rPr>
          <w:rFonts w:ascii="Calibri" w:cs="Calibri" w:eastAsia="Calibri" w:hAnsi="Calibri"/>
          <w:b/>
          <w:bCs/>
          <w:color w:val="1A1A1A"/>
          <w:sz w:val="21"/>
          <w:szCs w:val="21"/>
        </w:rPr>
        <w:t xml:space="preserve">rule-based auto-enrolment</w:t>
      </w:r>
      <w:r>
        <w:rPr>
          <w:rFonts w:ascii="Calibri" w:cs="Calibri" w:eastAsia="Calibri" w:hAnsi="Calibri"/>
          <w:color w:val="1A1A1A"/>
          <w:sz w:val="21"/>
          <w:szCs w:val="21"/>
        </w:rPr>
        <w:t xml:space="preserve"> against the slice definition, not user choice. Manual selection introduces selection bias that cannot be corrected afterward and cannot be detected in the output.</w:t>
      </w:r>
    </w:p>
    <w:p>
      <w:pPr>
        <w:pStyle w:val="ListParagraph"/>
        <w:numPr>
          <w:ilvl w:val="0"/>
          <w:numId w:val="2"/>
        </w:numPr>
        <w:spacing w:after="80" w:line="276"/>
      </w:pPr>
      <w:r>
        <w:rPr>
          <w:rFonts w:ascii="Calibri" w:cs="Calibri" w:eastAsia="Calibri" w:hAnsi="Calibri"/>
          <w:color w:val="1A1A1A"/>
          <w:sz w:val="21"/>
          <w:szCs w:val="21"/>
        </w:rPr>
        <w:t xml:space="preserve">A </w:t>
      </w:r>
      <w:r>
        <w:rPr>
          <w:rFonts w:ascii="Calibri" w:cs="Calibri" w:eastAsia="Calibri" w:hAnsi="Calibri"/>
          <w:b/>
          <w:bCs/>
          <w:color w:val="1A1A1A"/>
          <w:sz w:val="21"/>
          <w:szCs w:val="21"/>
        </w:rPr>
        <w:t xml:space="preserve">manual trigger exists but is the exception</w:t>
      </w:r>
      <w:r>
        <w:rPr>
          <w:rFonts w:ascii="Calibri" w:cs="Calibri" w:eastAsia="Calibri" w:hAnsi="Calibri"/>
          <w:color w:val="1A1A1A"/>
          <w:sz w:val="21"/>
          <w:szCs w:val="21"/>
        </w:rPr>
        <w:t xml:space="preserve">, is entitled to named users, and every manual send is flagged in the cohort so its effect on the sample can be measured and, if necessary, excluded.</w:t>
      </w:r>
    </w:p>
    <w:p>
      <w:pPr>
        <w:pStyle w:val="ListParagraph"/>
        <w:numPr>
          <w:ilvl w:val="0"/>
          <w:numId w:val="2"/>
        </w:numPr>
        <w:spacing w:after="80" w:line="276"/>
      </w:pPr>
      <w:r>
        <w:rPr>
          <w:rFonts w:ascii="Calibri" w:cs="Calibri" w:eastAsia="Calibri" w:hAnsi="Calibri"/>
          <w:color w:val="1A1A1A"/>
          <w:sz w:val="21"/>
          <w:szCs w:val="21"/>
        </w:rPr>
        <w:t xml:space="preserve">The trigger fires at a </w:t>
      </w:r>
      <w:r>
        <w:rPr>
          <w:rFonts w:ascii="Calibri" w:cs="Calibri" w:eastAsia="Calibri" w:hAnsi="Calibri"/>
          <w:b/>
          <w:bCs/>
          <w:color w:val="1A1A1A"/>
          <w:sz w:val="21"/>
          <w:szCs w:val="21"/>
        </w:rPr>
        <w:t xml:space="preserve">single defined workflow milestone</w:t>
      </w:r>
      <w:r>
        <w:rPr>
          <w:rFonts w:ascii="Calibri" w:cs="Calibri" w:eastAsia="Calibri" w:hAnsi="Calibri"/>
          <w:color w:val="1A1A1A"/>
          <w:sz w:val="21"/>
          <w:szCs w:val="21"/>
        </w:rPr>
        <w:t xml:space="preserve">, identical for every loan, so that what Jazz receives is comparable across the cohort.</w:t>
      </w:r>
    </w:p>
    <w:p>
      <w:pPr>
        <w:pStyle w:val="ListParagraph"/>
        <w:numPr>
          <w:ilvl w:val="0"/>
          <w:numId w:val="2"/>
        </w:numPr>
        <w:spacing w:after="80" w:line="276"/>
      </w:pPr>
      <w:r>
        <w:rPr>
          <w:rFonts w:ascii="Calibri" w:cs="Calibri" w:eastAsia="Calibri" w:hAnsi="Calibri"/>
          <w:color w:val="1A1A1A"/>
          <w:sz w:val="21"/>
          <w:szCs w:val="21"/>
        </w:rPr>
        <w:t xml:space="preserve">The payload is the </w:t>
      </w:r>
      <w:r>
        <w:rPr>
          <w:rFonts w:ascii="Calibri" w:cs="Calibri" w:eastAsia="Calibri" w:hAnsi="Calibri"/>
          <w:b/>
          <w:bCs/>
          <w:color w:val="1A1A1A"/>
          <w:sz w:val="21"/>
          <w:szCs w:val="21"/>
        </w:rPr>
        <w:t xml:space="preserve">minimum data required</w:t>
      </w:r>
      <w:r>
        <w:rPr>
          <w:rFonts w:ascii="Calibri" w:cs="Calibri" w:eastAsia="Calibri" w:hAnsi="Calibri"/>
          <w:color w:val="1A1A1A"/>
          <w:sz w:val="21"/>
          <w:szCs w:val="21"/>
        </w:rPr>
        <w:t xml:space="preserve"> for the studio's use case. Expanding it is an InfoSec and Steering decision, never an engineering convenience.</w:t>
      </w:r>
    </w:p>
    <w:p>
      <w:pPr>
        <w:pStyle w:val="ListParagraph"/>
        <w:numPr>
          <w:ilvl w:val="0"/>
          <w:numId w:val="2"/>
        </w:numPr>
        <w:spacing w:after="80" w:line="276"/>
      </w:pPr>
      <w:r>
        <w:rPr>
          <w:rFonts w:ascii="Calibri" w:cs="Calibri" w:eastAsia="Calibri" w:hAnsi="Calibri"/>
          <w:color w:val="1A1A1A"/>
          <w:sz w:val="21"/>
          <w:szCs w:val="21"/>
        </w:rPr>
        <w:t xml:space="preserve">Every send is </w:t>
      </w:r>
      <w:r>
        <w:rPr>
          <w:rFonts w:ascii="Calibri" w:cs="Calibri" w:eastAsia="Calibri" w:hAnsi="Calibri"/>
          <w:b/>
          <w:bCs/>
          <w:color w:val="1A1A1A"/>
          <w:sz w:val="21"/>
          <w:szCs w:val="21"/>
        </w:rPr>
        <w:t xml:space="preserve">logged, idempotent and reversible</w:t>
      </w:r>
      <w:r>
        <w:rPr>
          <w:rFonts w:ascii="Calibri" w:cs="Calibri" w:eastAsia="Calibri" w:hAnsi="Calibri"/>
          <w:color w:val="1A1A1A"/>
          <w:sz w:val="21"/>
          <w:szCs w:val="21"/>
        </w:rPr>
        <w:t xml:space="preserve"> — we can prove what was sent, re-send safely, and withdraw a loan from the studio.</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Why manual triggering breaks the studio</w:t>
      </w:r>
    </w:p>
    <w:p>
      <w:pPr>
        <w:spacing w:after="120" w:line="276"/>
      </w:pPr>
      <w:r>
        <w:rPr>
          <w:rFonts w:ascii="Calibri" w:cs="Calibri" w:eastAsia="Calibri" w:hAnsi="Calibri"/>
          <w:color w:val="1A1A1A"/>
          <w:sz w:val="21"/>
          <w:szCs w:val="21"/>
        </w:rPr>
        <w:t xml:space="preserve">This is the single most consequential point in this document. If an underwriter chooses which loans go to Jazz, they will choose — entirely reasonably — the loans where they expect it to help, or the ones they find interesting, or the ones that are not urgent. The resulting cohort is not the slice; it is a self-selected subset with unknown properties.</w:t>
      </w:r>
    </w:p>
    <w:p>
      <w:pPr>
        <w:spacing w:after="120" w:line="276"/>
      </w:pPr>
      <w:r>
        <w:rPr>
          <w:rFonts w:ascii="Calibri" w:cs="Calibri" w:eastAsia="Calibri" w:hAnsi="Calibri"/>
          <w:color w:val="1A1A1A"/>
          <w:sz w:val="21"/>
          <w:szCs w:val="21"/>
        </w:rPr>
        <w:t xml:space="preserve">The damage is invisible. Accuracy numbers still compute, the sample size target is still met, and nothing in the output reveals the bias. At Gate 4 the evidence describes a population that does not exist in production, and there is no way to correct for it after the fact because the selection rule lived in people's heads.</w:t>
      </w:r>
    </w:p>
    <w:p>
      <w:pPr>
        <w:pStyle w:val="ListParagraph"/>
        <w:numPr>
          <w:ilvl w:val="0"/>
          <w:numId w:val="3"/>
        </w:numPr>
        <w:spacing w:after="80" w:line="276"/>
      </w:pPr>
      <w:r>
        <w:rPr>
          <w:rFonts w:ascii="Calibri" w:cs="Calibri" w:eastAsia="Calibri" w:hAnsi="Calibri"/>
          <w:color w:val="1A1A1A"/>
          <w:sz w:val="21"/>
          <w:szCs w:val="21"/>
        </w:rPr>
        <w:t xml:space="preserve">Auto-enrol every loan matching the slice rule — the rule is the population, so the cohort is the population</w:t>
      </w:r>
    </w:p>
    <w:p>
      <w:pPr>
        <w:pStyle w:val="ListParagraph"/>
        <w:numPr>
          <w:ilvl w:val="0"/>
          <w:numId w:val="3"/>
        </w:numPr>
        <w:spacing w:after="80" w:line="276"/>
      </w:pPr>
      <w:r>
        <w:rPr>
          <w:rFonts w:ascii="Calibri" w:cs="Calibri" w:eastAsia="Calibri" w:hAnsi="Calibri"/>
          <w:color w:val="1A1A1A"/>
          <w:sz w:val="21"/>
          <w:szCs w:val="21"/>
        </w:rPr>
        <w:t xml:space="preserve">Where a manual send is genuinely needed, flag it and report manual-send share at every gate</w:t>
      </w:r>
    </w:p>
    <w:p>
      <w:pPr>
        <w:pStyle w:val="ListParagraph"/>
        <w:numPr>
          <w:ilvl w:val="0"/>
          <w:numId w:val="3"/>
        </w:numPr>
        <w:spacing w:after="80" w:line="276"/>
      </w:pPr>
      <w:r>
        <w:rPr>
          <w:rFonts w:ascii="Calibri" w:cs="Calibri" w:eastAsia="Calibri" w:hAnsi="Calibri"/>
          <w:color w:val="1A1A1A"/>
          <w:sz w:val="21"/>
          <w:szCs w:val="21"/>
        </w:rPr>
        <w:t xml:space="preserve">Track cohort composition weekly against the slice definition; drift is a data-integrity issue, not a curiosity</w:t>
      </w:r>
    </w:p>
    <w:p>
      <w:pPr>
        <w:pStyle w:val="ListParagraph"/>
        <w:numPr>
          <w:ilvl w:val="0"/>
          <w:numId w:val="3"/>
        </w:numPr>
        <w:spacing w:after="80" w:line="276"/>
      </w:pPr>
      <w:r>
        <w:rPr>
          <w:rFonts w:ascii="Calibri" w:cs="Calibri" w:eastAsia="Calibri" w:hAnsi="Calibri"/>
          <w:color w:val="1A1A1A"/>
          <w:sz w:val="21"/>
          <w:szCs w:val="21"/>
        </w:rPr>
        <w:t xml:space="preserve">Report exits alongside sends — a cohort that auto-enrols fairly but loses hard loans to exits is biased just the same (see one-pager 11)</w:t>
      </w:r>
    </w:p>
    <w:p>
      <w:pPr>
        <w:spacing w:after="80" w:before="200"/>
      </w:pPr>
      <w:r>
        <w:rPr>
          <w:rFonts w:ascii="Calibri" w:cs="Calibri" w:eastAsia="Calibri" w:hAnsi="Calibri"/>
          <w:b/>
          <w:bCs/>
          <w:color w:val="0E3A4F"/>
          <w:sz w:val="22"/>
          <w:szCs w:val="22"/>
        </w:rPr>
        <w:t xml:space="preserve">Trigger models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2620"/>
        <w:gridCol w:w="2246"/>
        <w:gridCol w:w="2622"/>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Model</w:t>
            </w:r>
          </w:p>
        </w:tc>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How it fires</w:t>
            </w:r>
          </w:p>
        </w:tc>
        <w:tc>
          <w:tcPr>
            <w:tcW w:type="dxa" w:w="224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Use for</w:t>
            </w:r>
          </w:p>
        </w:tc>
        <w:tc>
          <w:tcPr>
            <w:tcW w:type="dxa" w:w="262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Rule-based auto-enrolment</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matching the slice rule reaches the trigger milestone and is sent automatically</w:t>
            </w:r>
          </w:p>
        </w:tc>
        <w:tc>
          <w:tcPr>
            <w:tcW w:type="dxa" w:w="2246"/>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The studio default</w:t>
            </w:r>
            <w:r>
              <w:rPr>
                <w:rFonts w:ascii="Calibri" w:cs="Calibri" w:eastAsia="Calibri" w:hAnsi="Calibri"/>
                <w:color w:val="1A1A1A"/>
                <w:sz w:val="21"/>
                <w:szCs w:val="21"/>
              </w:rPr>
              <w:t xml:space="preserve"> — all shadow volume</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Needs the slice rule to be machine-applicable; ambiguity in the rule becomes ambiguity in the cohort</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Manual, entitled user</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user sends a specific loan from the existing workflow</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Exceptions, re-sends, test files</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Selection bias if it becomes the primary path; must be flagged and measured</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Batch / backfill</w:t>
            </w:r>
          </w:p>
        </w:tc>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set of historical or queued loans sent together</w:t>
            </w:r>
          </w:p>
        </w:tc>
        <w:tc>
          <w:tcPr>
            <w:tcW w:type="dxa" w:w="224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Holdout construction, regression runs</w:t>
            </w:r>
          </w:p>
        </w:tc>
        <w:tc>
          <w:tcPr>
            <w:tcW w:type="dxa" w:w="262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Must never mix with the live cohort in reporting</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Event-driven re-send</w:t>
            </w:r>
          </w:p>
        </w:tc>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New document arrives on a loan already in the studio</w:t>
            </w:r>
          </w:p>
        </w:tc>
        <w:tc>
          <w:tcPr>
            <w:tcW w:type="dxa" w:w="224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 clearing use case</w:t>
            </w:r>
          </w:p>
        </w:tc>
        <w:tc>
          <w:tcPr>
            <w:tcW w:type="dxa" w:w="262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Duplicate handling and versioning must be explicit</w:t>
            </w:r>
          </w:p>
        </w:tc>
      </w:tr>
    </w:tbl>
    <w:p>
      <w:pPr>
        <w:spacing w:after="160"/>
      </w:pPr>
    </w:p>
    <w:p>
      <w:pPr>
        <w:spacing w:after="80" w:before="200"/>
      </w:pPr>
      <w:r>
        <w:rPr>
          <w:rFonts w:ascii="Calibri" w:cs="Calibri" w:eastAsia="Calibri" w:hAnsi="Calibri"/>
          <w:b/>
          <w:bCs/>
          <w:color w:val="0E3A4F"/>
          <w:sz w:val="22"/>
          <w:szCs w:val="22"/>
        </w:rPr>
        <w:t xml:space="preserve">Choosing the trigger milestone</w:t>
      </w:r>
    </w:p>
    <w:p>
      <w:pPr>
        <w:spacing w:after="120" w:line="276"/>
      </w:pPr>
      <w:r>
        <w:rPr>
          <w:rFonts w:ascii="Calibri" w:cs="Calibri" w:eastAsia="Calibri" w:hAnsi="Calibri"/>
          <w:color w:val="1A1A1A"/>
          <w:sz w:val="21"/>
          <w:szCs w:val="21"/>
        </w:rPr>
        <w:t xml:space="preserve">Every loan must enter Jazz at the same point in the workflow, or the comparison is between files at different stages of completeness. Pick one and hold it for the whole studio; changing it mid-studio invalidates the comparison in the same way changing a metric definition does.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2995"/>
        <w:gridCol w:w="3557"/>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Candidate milestone</w:t>
            </w:r>
          </w:p>
        </w:tc>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Jazz sees</w:t>
            </w:r>
          </w:p>
        </w:tc>
        <w:tc>
          <w:tcPr>
            <w:tcW w:type="dxa" w:w="355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Trade-off</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Application submitted</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Very little — few documents</w:t>
            </w:r>
          </w:p>
        </w:tc>
        <w:tc>
          <w:tcPr>
            <w:tcW w:type="dxa" w:w="355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Too early; Jazz has nothing to work with and looks worse than it is</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Initial document set received</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core package</w:t>
            </w:r>
          </w:p>
        </w:tc>
        <w:tc>
          <w:tcPr>
            <w:tcW w:type="dxa" w:w="3557"/>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Usually the right choice</w:t>
            </w:r>
            <w:r>
              <w:rPr>
                <w:rFonts w:ascii="Calibri" w:cs="Calibri" w:eastAsia="Calibri" w:hAnsi="Calibri"/>
                <w:color w:val="1A1A1A"/>
                <w:sz w:val="21"/>
                <w:szCs w:val="21"/>
              </w:rPr>
              <w:t xml:space="preserve"> — enough to be useful, early enough to affect the work</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File assigned to underwriter</w:t>
            </w:r>
          </w:p>
        </w:tc>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Everything the underwriter sees</w:t>
            </w:r>
          </w:p>
        </w:tc>
        <w:tc>
          <w:tcPr>
            <w:tcW w:type="dxa" w:w="355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Cleanest human-vs-Jazz comparison; slightly later in the process</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Conditions issued</w:t>
            </w:r>
          </w:p>
        </w:tc>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full picture plus human judgement</w:t>
            </w:r>
          </w:p>
        </w:tc>
        <w:tc>
          <w:tcPr>
            <w:tcW w:type="dxa" w:w="355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Too late to measure the initial underwrite; useful only for the clearing use case</w:t>
            </w:r>
          </w:p>
        </w:tc>
      </w:tr>
    </w:tbl>
    <w:p>
      <w:pPr>
        <w:spacing w:after="160" w:before="80"/>
      </w:pPr>
      <w:r>
        <w:rPr>
          <w:rFonts w:ascii="Calibri" w:cs="Calibri" w:eastAsia="Calibri" w:hAnsi="Calibri"/>
          <w:i/>
          <w:iCs/>
          <w:color w:val="5A6B73"/>
          <w:sz w:val="18"/>
          <w:szCs w:val="18"/>
        </w:rPr>
        <w:t xml:space="preserve">The clearing use case may justify a second trigger on document arrival — treat that as a separate, explicitly defined trigger, not a variation of the first.</w:t>
      </w:r>
    </w:p>
    <w:p>
      <w:pPr>
        <w:spacing w:after="80" w:before="200"/>
      </w:pPr>
      <w:r>
        <w:rPr>
          <w:rFonts w:ascii="Calibri" w:cs="Calibri" w:eastAsia="Calibri" w:hAnsi="Calibri"/>
          <w:b/>
          <w:bCs/>
          <w:color w:val="0E3A4F"/>
          <w:sz w:val="22"/>
          <w:szCs w:val="22"/>
        </w:rPr>
        <w:t xml:space="preserve">What must be true of every send</w:t>
      </w:r>
    </w:p>
    <w:p>
      <w:pPr>
        <w:pStyle w:val="ListParagraph"/>
        <w:numPr>
          <w:ilvl w:val="0"/>
          <w:numId w:val="4"/>
        </w:numPr>
        <w:spacing w:after="80" w:line="276"/>
      </w:pPr>
      <w:r>
        <w:rPr>
          <w:rFonts w:ascii="Calibri" w:cs="Calibri" w:eastAsia="Calibri" w:hAnsi="Calibri"/>
          <w:b/>
          <w:bCs/>
          <w:color w:val="1A1A1A"/>
          <w:sz w:val="21"/>
          <w:szCs w:val="21"/>
        </w:rPr>
        <w:t xml:space="preserve">Entitled</w:t>
      </w:r>
      <w:r>
        <w:rPr>
          <w:rFonts w:ascii="Calibri" w:cs="Calibri" w:eastAsia="Calibri" w:hAnsi="Calibri"/>
          <w:color w:val="1A1A1A"/>
          <w:sz w:val="21"/>
          <w:szCs w:val="21"/>
        </w:rPr>
        <w:t xml:space="preserve"> — the trigger runs under a service identity or a named entitled user; no shared credentials.</w:t>
      </w:r>
    </w:p>
    <w:p>
      <w:pPr>
        <w:pStyle w:val="ListParagraph"/>
        <w:numPr>
          <w:ilvl w:val="0"/>
          <w:numId w:val="4"/>
        </w:numPr>
        <w:spacing w:after="80" w:line="276"/>
      </w:pPr>
      <w:r>
        <w:rPr>
          <w:rFonts w:ascii="Calibri" w:cs="Calibri" w:eastAsia="Calibri" w:hAnsi="Calibri"/>
          <w:b/>
          <w:bCs/>
          <w:color w:val="1A1A1A"/>
          <w:sz w:val="21"/>
          <w:szCs w:val="21"/>
        </w:rPr>
        <w:t xml:space="preserve">Minimal</w:t>
      </w:r>
      <w:r>
        <w:rPr>
          <w:rFonts w:ascii="Calibri" w:cs="Calibri" w:eastAsia="Calibri" w:hAnsi="Calibri"/>
          <w:color w:val="1A1A1A"/>
          <w:sz w:val="21"/>
          <w:szCs w:val="21"/>
        </w:rPr>
        <w:t xml:space="preserve"> — the payload carries only the data classes agreed with InfoSec, and the agreed list is enforced in code rather than by convention.</w:t>
      </w:r>
    </w:p>
    <w:p>
      <w:pPr>
        <w:pStyle w:val="ListParagraph"/>
        <w:numPr>
          <w:ilvl w:val="0"/>
          <w:numId w:val="4"/>
        </w:numPr>
        <w:spacing w:after="80" w:line="276"/>
      </w:pPr>
      <w:r>
        <w:rPr>
          <w:rFonts w:ascii="Calibri" w:cs="Calibri" w:eastAsia="Calibri" w:hAnsi="Calibri"/>
          <w:b/>
          <w:bCs/>
          <w:color w:val="1A1A1A"/>
          <w:sz w:val="21"/>
          <w:szCs w:val="21"/>
        </w:rPr>
        <w:t xml:space="preserve">Logged</w:t>
      </w:r>
      <w:r>
        <w:rPr>
          <w:rFonts w:ascii="Calibri" w:cs="Calibri" w:eastAsia="Calibri" w:hAnsi="Calibri"/>
          <w:color w:val="1A1A1A"/>
          <w:sz w:val="21"/>
          <w:szCs w:val="21"/>
        </w:rPr>
        <w:t xml:space="preserve"> — who or what triggered it, when, which loan, which payload version, and the receipt Jazz returned.</w:t>
      </w:r>
    </w:p>
    <w:p>
      <w:pPr>
        <w:pStyle w:val="ListParagraph"/>
        <w:numPr>
          <w:ilvl w:val="0"/>
          <w:numId w:val="4"/>
        </w:numPr>
        <w:spacing w:after="80" w:line="276"/>
      </w:pPr>
      <w:r>
        <w:rPr>
          <w:rFonts w:ascii="Calibri" w:cs="Calibri" w:eastAsia="Calibri" w:hAnsi="Calibri"/>
          <w:b/>
          <w:bCs/>
          <w:color w:val="1A1A1A"/>
          <w:sz w:val="21"/>
          <w:szCs w:val="21"/>
        </w:rPr>
        <w:t xml:space="preserve">Idempotent</w:t>
      </w:r>
      <w:r>
        <w:rPr>
          <w:rFonts w:ascii="Calibri" w:cs="Calibri" w:eastAsia="Calibri" w:hAnsi="Calibri"/>
          <w:color w:val="1A1A1A"/>
          <w:sz w:val="21"/>
          <w:szCs w:val="21"/>
        </w:rPr>
        <w:t xml:space="preserve"> — re-sending the same loan does not create a duplicate cohort entry or double-count in any metric.</w:t>
      </w:r>
    </w:p>
    <w:p>
      <w:pPr>
        <w:pStyle w:val="ListParagraph"/>
        <w:numPr>
          <w:ilvl w:val="0"/>
          <w:numId w:val="4"/>
        </w:numPr>
        <w:spacing w:after="80" w:line="276"/>
      </w:pPr>
      <w:r>
        <w:rPr>
          <w:rFonts w:ascii="Calibri" w:cs="Calibri" w:eastAsia="Calibri" w:hAnsi="Calibri"/>
          <w:b/>
          <w:bCs/>
          <w:color w:val="1A1A1A"/>
          <w:sz w:val="21"/>
          <w:szCs w:val="21"/>
        </w:rPr>
        <w:t xml:space="preserve">Reversible</w:t>
      </w:r>
      <w:r>
        <w:rPr>
          <w:rFonts w:ascii="Calibri" w:cs="Calibri" w:eastAsia="Calibri" w:hAnsi="Calibri"/>
          <w:color w:val="1A1A1A"/>
          <w:sz w:val="21"/>
          <w:szCs w:val="21"/>
        </w:rPr>
        <w:t xml:space="preserve"> — a loan can be withdrawn from the studio, with the withdrawal and its reason recorded.</w:t>
      </w:r>
    </w:p>
    <w:p>
      <w:pPr>
        <w:pStyle w:val="ListParagraph"/>
        <w:numPr>
          <w:ilvl w:val="0"/>
          <w:numId w:val="4"/>
        </w:numPr>
        <w:spacing w:after="80" w:line="276"/>
      </w:pPr>
      <w:r>
        <w:rPr>
          <w:rFonts w:ascii="Calibri" w:cs="Calibri" w:eastAsia="Calibri" w:hAnsi="Calibri"/>
          <w:b/>
          <w:bCs/>
          <w:color w:val="1A1A1A"/>
          <w:sz w:val="21"/>
          <w:szCs w:val="21"/>
        </w:rPr>
        <w:t xml:space="preserve">Fail-safe</w:t>
      </w:r>
      <w:r>
        <w:rPr>
          <w:rFonts w:ascii="Calibri" w:cs="Calibri" w:eastAsia="Calibri" w:hAnsi="Calibri"/>
          <w:color w:val="1A1A1A"/>
          <w:sz w:val="21"/>
          <w:szCs w:val="21"/>
        </w:rPr>
        <w:t xml:space="preserve"> — if Jazz is unavailable or the send fails, the standard workflow is entirely unaffected and the loan is flagged for exclusion or retry, never silently dropped.</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Trigger design record — complete before G0</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744"/>
        <w:gridCol w:w="5616"/>
      </w:tblGrid>
      <w:tr>
        <w:trPr>
          <w:tblHeader/>
        </w:trPr>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Item</w:t>
            </w:r>
          </w:p>
        </w:tc>
        <w:tc>
          <w:tcPr>
            <w:tcW w:type="dxa" w:w="561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Decision</w:t>
            </w:r>
          </w:p>
        </w:tc>
      </w:tr>
      <w:tr>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Primary trigger model</w:t>
            </w:r>
          </w:p>
        </w:tc>
        <w:tc>
          <w:tcPr>
            <w:tcW w:type="dxa" w:w="561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Rule-based auto-enrolment (recommended)</w:t>
            </w:r>
          </w:p>
        </w:tc>
      </w:tr>
      <w:tr>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Trigger milestone</w:t>
            </w:r>
          </w:p>
        </w:tc>
        <w:tc>
          <w:tcPr>
            <w:tcW w:type="dxa" w:w="561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Machine-applicable slice rule confirmed?</w:t>
            </w:r>
          </w:p>
        </w:tc>
        <w:tc>
          <w:tcPr>
            <w:tcW w:type="dxa" w:w="561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Manual trigger permitted?</w:t>
            </w:r>
          </w:p>
        </w:tc>
        <w:tc>
          <w:tcPr>
            <w:tcW w:type="dxa" w:w="561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Yes — entitled users only, flagged in cohort</w:t>
            </w:r>
          </w:p>
        </w:tc>
      </w:tr>
      <w:tr>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entitled users</w:t>
            </w:r>
          </w:p>
        </w:tc>
        <w:tc>
          <w:tcPr>
            <w:tcW w:type="dxa" w:w="561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Payload data classes (InfoSec-approved)</w:t>
            </w:r>
          </w:p>
        </w:tc>
        <w:tc>
          <w:tcPr>
            <w:tcW w:type="dxa" w:w="561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Second trigger for document arrival?</w:t>
            </w:r>
          </w:p>
        </w:tc>
        <w:tc>
          <w:tcPr>
            <w:tcW w:type="dxa" w:w="561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Retry policy on failure</w:t>
            </w:r>
          </w:p>
        </w:tc>
        <w:tc>
          <w:tcPr>
            <w:tcW w:type="dxa" w:w="561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Withdrawal / exit mechanism</w:t>
            </w:r>
          </w:p>
        </w:tc>
        <w:tc>
          <w:tcPr>
            <w:tcW w:type="dxa" w:w="561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Cohort tag location in our systems</w:t>
            </w:r>
          </w:p>
        </w:tc>
        <w:tc>
          <w:tcPr>
            <w:tcW w:type="dxa" w:w="561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pPr>
    </w:p>
    <w:p>
      <w:pPr>
        <w:spacing w:after="80" w:before="200"/>
      </w:pPr>
      <w:r>
        <w:rPr>
          <w:rFonts w:ascii="Calibri" w:cs="Calibri" w:eastAsia="Calibri" w:hAnsi="Calibri"/>
          <w:b/>
          <w:bCs/>
          <w:color w:val="0E3A4F"/>
          <w:sz w:val="22"/>
          <w:szCs w:val="22"/>
        </w:rPr>
        <w:t xml:space="preserve">Trigger health metrics — reported weekly</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995"/>
        <w:gridCol w:w="2059"/>
        <w:gridCol w:w="4306"/>
      </w:tblGrid>
      <w:tr>
        <w:trPr>
          <w:tblHeader/>
        </w:trPr>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Metric</w:t>
            </w:r>
          </w:p>
        </w:tc>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Healthy</w:t>
            </w:r>
          </w:p>
        </w:tc>
        <w:tc>
          <w:tcPr>
            <w:tcW w:type="dxa" w:w="430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Why it matters</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Send success rate</w:t>
            </w:r>
          </w:p>
        </w:tc>
        <w:tc>
          <w:tcPr>
            <w:tcW w:type="dxa" w:w="205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&gt; 99%</w:t>
            </w:r>
          </w:p>
        </w:tc>
        <w:tc>
          <w:tcPr>
            <w:tcW w:type="dxa" w:w="430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Failed sends silently shrink the sample</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Auto vs. manual share</w:t>
            </w:r>
          </w:p>
        </w:tc>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&gt; 95% auto</w:t>
            </w:r>
          </w:p>
        </w:tc>
        <w:tc>
          <w:tcPr>
            <w:tcW w:type="dxa" w:w="430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bias indicator — a rising manual share is a red flag</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Cohort match to slice rule</w:t>
            </w:r>
          </w:p>
        </w:tc>
        <w:tc>
          <w:tcPr>
            <w:tcW w:type="dxa" w:w="205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100%</w:t>
            </w:r>
          </w:p>
        </w:tc>
        <w:tc>
          <w:tcPr>
            <w:tcW w:type="dxa" w:w="430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Drift means the population is not what the evidence claims</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Time from trigger to Jazz output</w:t>
            </w:r>
          </w:p>
        </w:tc>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Tracked</w:t>
            </w:r>
          </w:p>
        </w:tc>
        <w:tc>
          <w:tcPr>
            <w:tcW w:type="dxa" w:w="430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Sets whether the output is available when the human works the file</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Duplicate sends</w:t>
            </w:r>
          </w:p>
        </w:tc>
        <w:tc>
          <w:tcPr>
            <w:tcW w:type="dxa" w:w="205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0</w:t>
            </w:r>
          </w:p>
        </w:tc>
        <w:tc>
          <w:tcPr>
            <w:tcW w:type="dxa" w:w="430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Double counting corrupts every rate metric</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Withdrawals and reasons</w:t>
            </w:r>
          </w:p>
        </w:tc>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Tracked</w:t>
            </w:r>
          </w:p>
        </w:tc>
        <w:tc>
          <w:tcPr>
            <w:tcW w:type="dxa" w:w="430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Sample-integrity evidence for Gate 4</w:t>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Pre-G0</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Trigger built and tested end to end on real files</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Working trigger</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Day 1</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Auto-enrolment live; first cohort loans flowing</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Cohort populated</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Trigger health metrics reviewed in the feedback loop</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Health report</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Cohort reconciled against the slice rule</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Drift check</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each gate</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Manual-send share and withdrawal log presented as sample-integrity evidence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Gate evidence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Auto-enrolment covering the full slice, with the rule implemented in code</w:t>
      </w:r>
    </w:p>
    <w:p>
      <w:pPr>
        <w:pStyle w:val="ListParagraph"/>
        <w:numPr>
          <w:ilvl w:val="0"/>
          <w:numId w:val="3"/>
        </w:numPr>
        <w:spacing w:after="80" w:line="276"/>
      </w:pPr>
      <w:r>
        <w:rPr>
          <w:rFonts w:ascii="Calibri" w:cs="Calibri" w:eastAsia="Calibri" w:hAnsi="Calibri"/>
          <w:color w:val="1A1A1A"/>
          <w:sz w:val="21"/>
          <w:szCs w:val="21"/>
        </w:rPr>
        <w:t xml:space="preserve">Manual sends entitled, flagged, and under 5% of cohort volume</w:t>
      </w:r>
    </w:p>
    <w:p>
      <w:pPr>
        <w:pStyle w:val="ListParagraph"/>
        <w:numPr>
          <w:ilvl w:val="0"/>
          <w:numId w:val="3"/>
        </w:numPr>
        <w:spacing w:after="80" w:line="276"/>
      </w:pPr>
      <w:r>
        <w:rPr>
          <w:rFonts w:ascii="Calibri" w:cs="Calibri" w:eastAsia="Calibri" w:hAnsi="Calibri"/>
          <w:color w:val="1A1A1A"/>
          <w:sz w:val="21"/>
          <w:szCs w:val="21"/>
        </w:rPr>
        <w:t xml:space="preserve">Every send logged with payload version and receipt</w:t>
      </w:r>
    </w:p>
    <w:p>
      <w:pPr>
        <w:pStyle w:val="ListParagraph"/>
        <w:numPr>
          <w:ilvl w:val="0"/>
          <w:numId w:val="3"/>
        </w:numPr>
        <w:spacing w:after="80" w:line="276"/>
      </w:pPr>
      <w:r>
        <w:rPr>
          <w:rFonts w:ascii="Calibri" w:cs="Calibri" w:eastAsia="Calibri" w:hAnsi="Calibri"/>
          <w:color w:val="1A1A1A"/>
          <w:sz w:val="21"/>
          <w:szCs w:val="21"/>
        </w:rPr>
        <w:t xml:space="preserve">Trigger failure never affects the standard workflow</w:t>
      </w:r>
    </w:p>
    <w:p>
      <w:pPr>
        <w:pStyle w:val="ListParagraph"/>
        <w:numPr>
          <w:ilvl w:val="0"/>
          <w:numId w:val="3"/>
        </w:numPr>
        <w:spacing w:after="80" w:line="276"/>
      </w:pPr>
      <w:r>
        <w:rPr>
          <w:rFonts w:ascii="Calibri" w:cs="Calibri" w:eastAsia="Calibri" w:hAnsi="Calibri"/>
          <w:color w:val="1A1A1A"/>
          <w:sz w:val="21"/>
          <w:szCs w:val="21"/>
        </w:rPr>
        <w:t xml:space="preserve">Cohort reconciles to the slice rule every week with drift investigated</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Manual selection becomes the primary path and biases the sample invisibly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Auto-enrolment as default; manual share reported at every gate with a 5% threshold</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Trigger milestone changed mid-studio</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Frozen at G1 with the baseline; change requires a Steering decision and invalidates prior comparison</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Steering Committee</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Payload quietly expands as engineers add "useful" fields</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classes enforced in code and reviewed by InfoSec; expansion is a Steering decision</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InfoSec</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Failed sends reduce the sample without anyone noticing</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Send success rate monitored weekly; failures reconciled against expected volume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analyst</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Duplicate sends double-count in accuracy metrics</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Idempotency enforced at the trigger; duplicate count reported weekly</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lead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Enabling Users to Trigger Loans to Jazz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Enabling Users to Trigger Loans to Jazz</dc:title>
  <dc:creator>Design Studio Program Office</dc:creator>
  <dc:description>How a loan gets into the studio — and why letting people choose is the fastest way to ruin the evidence.</dc:description>
  <cp:lastModifiedBy>Un-named</cp:lastModifiedBy>
  <cp:revision>1</cp:revision>
  <dcterms:created xsi:type="dcterms:W3CDTF">2026-08-04T00:29:15.322Z</dcterms:created>
  <dcterms:modified xsi:type="dcterms:W3CDTF">2026-08-04T00:29:15.322Z</dcterms:modified>
</cp:coreProperties>
</file>

<file path=docProps/custom.xml><?xml version="1.0" encoding="utf-8"?>
<Properties xmlns="http://schemas.openxmlformats.org/officeDocument/2006/custom-properties" xmlns:vt="http://schemas.openxmlformats.org/officeDocument/2006/docPropsVTypes"/>
</file>