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LOGISTICS — PRODUCTION READINESS  │  ONE-PAGER 28</w:t>
      </w:r>
    </w:p>
    <w:p>
      <w:pPr>
        <w:spacing w:after="60"/>
      </w:pPr>
      <w:r>
        <w:rPr>
          <w:rFonts w:ascii="Calibri" w:cs="Calibri" w:eastAsia="Calibri" w:hAnsi="Calibri"/>
          <w:b/>
          <w:bCs/>
          <w:color w:val="0E3A4F"/>
          <w:sz w:val="40"/>
          <w:szCs w:val="40"/>
        </w:rPr>
        <w:t xml:space="preserve">Access Controls</w:t>
      </w:r>
    </w:p>
    <w:p>
      <w:pPr>
        <w:pBdr>
          <w:bottom w:val="single" w:color="1B6B7C" w:sz="12" w:space="8"/>
        </w:pBdr>
        <w:spacing w:after="200"/>
      </w:pPr>
      <w:r>
        <w:rPr>
          <w:rFonts w:ascii="Calibri" w:cs="Calibri" w:eastAsia="Calibri" w:hAnsi="Calibri"/>
          <w:i/>
          <w:iCs/>
          <w:color w:val="5A6B73"/>
          <w:sz w:val="21"/>
          <w:szCs w:val="21"/>
        </w:rPr>
        <w:t xml:space="preserve">Who can see borrower data, who can change behaviour, and who turns it all off on Day 91.</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define access on both sides of the relationship: what our people can do in Jazz, what Jazz can reach in our systems, and — the question most often left unasked — which individuals at the vendor can read our borrowers' documents, and whether we can see that they did. It also covers the least glamorous and most frequently skipped control in any pilot: deprovisioning everything when the studio ends.</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Information Security</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the access model</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 identity team</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provisioning and deprovisioning</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requests and reviews studio access</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role definitions for studio users</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Third-Party Risk</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vendor-side access terms</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segregation of duties</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Access is </w:t>
      </w:r>
      <w:r>
        <w:rPr>
          <w:rFonts w:ascii="Calibri" w:cs="Calibri" w:eastAsia="Calibri" w:hAnsi="Calibri"/>
          <w:b/>
          <w:bCs/>
          <w:color w:val="1A1A1A"/>
          <w:sz w:val="21"/>
          <w:szCs w:val="21"/>
        </w:rPr>
        <w:t xml:space="preserve">least privilege, named-account, MFA-enforced.</w:t>
      </w:r>
      <w:r>
        <w:rPr>
          <w:rFonts w:ascii="Calibri" w:cs="Calibri" w:eastAsia="Calibri" w:hAnsi="Calibri"/>
          <w:color w:val="1A1A1A"/>
          <w:sz w:val="21"/>
          <w:szCs w:val="21"/>
        </w:rPr>
        <w:t xml:space="preserve"> No shared credentials, no generic studio logins, no exceptions for convenience.</w:t>
      </w:r>
    </w:p>
    <w:p>
      <w:pPr>
        <w:pStyle w:val="ListParagraph"/>
        <w:numPr>
          <w:ilvl w:val="0"/>
          <w:numId w:val="2"/>
        </w:numPr>
        <w:spacing w:after="80" w:line="276"/>
      </w:pPr>
      <w:r>
        <w:rPr>
          <w:rFonts w:ascii="Calibri" w:cs="Calibri" w:eastAsia="Calibri" w:hAnsi="Calibri"/>
          <w:color w:val="1A1A1A"/>
          <w:sz w:val="21"/>
          <w:szCs w:val="21"/>
        </w:rPr>
        <w:t xml:space="preserve">The right to </w:t>
      </w:r>
      <w:r>
        <w:rPr>
          <w:rFonts w:ascii="Calibri" w:cs="Calibri" w:eastAsia="Calibri" w:hAnsi="Calibri"/>
          <w:b/>
          <w:bCs/>
          <w:color w:val="1A1A1A"/>
          <w:sz w:val="21"/>
          <w:szCs w:val="21"/>
        </w:rPr>
        <w:t xml:space="preserve">use</w:t>
      </w:r>
      <w:r>
        <w:rPr>
          <w:rFonts w:ascii="Calibri" w:cs="Calibri" w:eastAsia="Calibri" w:hAnsi="Calibri"/>
          <w:color w:val="1A1A1A"/>
          <w:sz w:val="21"/>
          <w:szCs w:val="21"/>
        </w:rPr>
        <w:t xml:space="preserve"> Jazz and the right to </w:t>
      </w:r>
      <w:r>
        <w:rPr>
          <w:rFonts w:ascii="Calibri" w:cs="Calibri" w:eastAsia="Calibri" w:hAnsi="Calibri"/>
          <w:b/>
          <w:bCs/>
          <w:color w:val="1A1A1A"/>
          <w:sz w:val="21"/>
          <w:szCs w:val="21"/>
        </w:rPr>
        <w:t xml:space="preserve">change</w:t>
      </w:r>
      <w:r>
        <w:rPr>
          <w:rFonts w:ascii="Calibri" w:cs="Calibri" w:eastAsia="Calibri" w:hAnsi="Calibri"/>
          <w:color w:val="1A1A1A"/>
          <w:sz w:val="21"/>
          <w:szCs w:val="21"/>
        </w:rPr>
        <w:t xml:space="preserve"> how Jazz behaves are separate roles. An underwriter reviewing output does not thereby get to alter condition logic.</w:t>
      </w:r>
    </w:p>
    <w:p>
      <w:pPr>
        <w:pStyle w:val="ListParagraph"/>
        <w:numPr>
          <w:ilvl w:val="0"/>
          <w:numId w:val="2"/>
        </w:numPr>
        <w:spacing w:after="80" w:line="276"/>
      </w:pPr>
      <w:r>
        <w:rPr>
          <w:rFonts w:ascii="Calibri" w:cs="Calibri" w:eastAsia="Calibri" w:hAnsi="Calibri"/>
          <w:b/>
          <w:bCs/>
          <w:color w:val="1A1A1A"/>
          <w:sz w:val="21"/>
          <w:szCs w:val="21"/>
        </w:rPr>
        <w:t xml:space="preserve">Vendor-side access is enumerated, logged and auditable.</w:t>
      </w:r>
      <w:r>
        <w:rPr>
          <w:rFonts w:ascii="Calibri" w:cs="Calibri" w:eastAsia="Calibri" w:hAnsi="Calibri"/>
          <w:color w:val="1A1A1A"/>
          <w:sz w:val="21"/>
          <w:szCs w:val="21"/>
        </w:rPr>
        <w:t xml:space="preserve"> We know which JazzX individuals can read our borrower data, and we can obtain a record of when they did.</w:t>
      </w:r>
    </w:p>
    <w:p>
      <w:pPr>
        <w:pStyle w:val="ListParagraph"/>
        <w:numPr>
          <w:ilvl w:val="0"/>
          <w:numId w:val="2"/>
        </w:numPr>
        <w:spacing w:after="80" w:line="276"/>
      </w:pPr>
      <w:r>
        <w:rPr>
          <w:rFonts w:ascii="Calibri" w:cs="Calibri" w:eastAsia="Calibri" w:hAnsi="Calibri"/>
          <w:color w:val="1A1A1A"/>
          <w:sz w:val="21"/>
          <w:szCs w:val="21"/>
        </w:rPr>
        <w:t xml:space="preserve">Our systems grant Jazz </w:t>
      </w:r>
      <w:r>
        <w:rPr>
          <w:rFonts w:ascii="Calibri" w:cs="Calibri" w:eastAsia="Calibri" w:hAnsi="Calibri"/>
          <w:b/>
          <w:bCs/>
          <w:color w:val="1A1A1A"/>
          <w:sz w:val="21"/>
          <w:szCs w:val="21"/>
        </w:rPr>
        <w:t xml:space="preserve">read-only access</w:t>
      </w:r>
      <w:r>
        <w:rPr>
          <w:rFonts w:ascii="Calibri" w:cs="Calibri" w:eastAsia="Calibri" w:hAnsi="Calibri"/>
          <w:color w:val="1A1A1A"/>
          <w:sz w:val="21"/>
          <w:szCs w:val="21"/>
        </w:rPr>
        <w:t xml:space="preserve"> technically, not by policy. Any write attempt is a tripwire that pauses the studio (one-pager 22).</w:t>
      </w:r>
    </w:p>
    <w:p>
      <w:pPr>
        <w:pStyle w:val="ListParagraph"/>
        <w:numPr>
          <w:ilvl w:val="0"/>
          <w:numId w:val="2"/>
        </w:numPr>
        <w:spacing w:after="80" w:line="276"/>
      </w:pPr>
      <w:r>
        <w:rPr>
          <w:rFonts w:ascii="Calibri" w:cs="Calibri" w:eastAsia="Calibri" w:hAnsi="Calibri"/>
          <w:b/>
          <w:bCs/>
          <w:color w:val="1A1A1A"/>
          <w:sz w:val="21"/>
          <w:szCs w:val="21"/>
        </w:rPr>
        <w:t xml:space="preserve">Deprovisioning is a dated deliverable at Day 90</w:t>
      </w:r>
      <w:r>
        <w:rPr>
          <w:rFonts w:ascii="Calibri" w:cs="Calibri" w:eastAsia="Calibri" w:hAnsi="Calibri"/>
          <w:color w:val="1A1A1A"/>
          <w:sz w:val="21"/>
          <w:szCs w:val="21"/>
        </w:rPr>
        <w:t xml:space="preserve">, executed whatever the Gate 4 outcome, with evidence.</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Role model for the studio</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2808"/>
        <w:gridCol w:w="2620"/>
        <w:gridCol w:w="2060"/>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Can</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Cannot</w:t>
            </w:r>
          </w:p>
        </w:tc>
        <w:tc>
          <w:tcPr>
            <w:tcW w:type="dxa" w:w="206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Held by</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Studio user</w:t>
            </w:r>
          </w:p>
        </w:tc>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View Jazz output for cohort loans; record comparison data</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any configuration, prompt or mapping</w:t>
            </w:r>
          </w:p>
        </w:tc>
        <w:tc>
          <w:tcPr>
            <w:tcW w:type="dxa" w:w="206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Underwriters, processors</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Tuner</w:t>
            </w:r>
          </w:p>
        </w:tc>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prompts, condition logic, recognition and mappings in the studio environment</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Approve their own borrower-affecting change; access non-cohort loans</w:t>
            </w:r>
          </w:p>
        </w:tc>
        <w:tc>
          <w:tcPr>
            <w:tcW w:type="dxa" w:w="206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 senior underwriter, analyst</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Analyst</w:t>
            </w:r>
          </w:p>
        </w:tc>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Export metrics and comparison data; run regression and holdout sets</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configuration</w:t>
            </w:r>
          </w:p>
        </w:tc>
        <w:tc>
          <w:tcPr>
            <w:tcW w:type="dxa" w:w="206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 BI analyst</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Administrator</w:t>
            </w:r>
          </w:p>
        </w:tc>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Manage users and entitlements</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Tune, or view borrower documents without a business reason</w:t>
            </w:r>
          </w:p>
        </w:tc>
        <w:tc>
          <w:tcPr>
            <w:tcW w:type="dxa" w:w="206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one named deputy</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Auditor / observer</w:t>
            </w:r>
          </w:p>
        </w:tc>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Read-only view of configuration, change log and metrics</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Anything else</w:t>
            </w:r>
          </w:p>
        </w:tc>
        <w:tc>
          <w:tcPr>
            <w:tcW w:type="dxa" w:w="206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Model Risk, InfoSec</w:t>
            </w:r>
          </w:p>
        </w:tc>
      </w:tr>
    </w:tbl>
    <w:p>
      <w:pPr>
        <w:spacing w:after="160" w:before="80"/>
      </w:pPr>
      <w:r>
        <w:rPr>
          <w:rFonts w:ascii="Calibri" w:cs="Calibri" w:eastAsia="Calibri" w:hAnsi="Calibri"/>
          <w:i/>
          <w:iCs/>
          <w:color w:val="5A6B73"/>
          <w:sz w:val="18"/>
          <w:szCs w:val="18"/>
        </w:rPr>
        <w:t xml:space="preserve">The auditor role is worth creating even if nobody uses it weekly — it is what lets a control function verify rather than take our word at a gate.</w:t>
      </w:r>
    </w:p>
    <w:p>
      <w:pPr>
        <w:spacing w:after="80" w:before="200"/>
      </w:pPr>
      <w:r>
        <w:rPr>
          <w:rFonts w:ascii="Calibri" w:cs="Calibri" w:eastAsia="Calibri" w:hAnsi="Calibri"/>
          <w:b/>
          <w:bCs/>
          <w:color w:val="0E3A4F"/>
          <w:sz w:val="22"/>
          <w:szCs w:val="22"/>
        </w:rPr>
        <w:t xml:space="preserve">Vendor-side access — the question nobody asks</w:t>
      </w:r>
    </w:p>
    <w:p>
      <w:pPr>
        <w:spacing w:after="120" w:line="276"/>
      </w:pPr>
      <w:r>
        <w:rPr>
          <w:rFonts w:ascii="Calibri" w:cs="Calibri" w:eastAsia="Calibri" w:hAnsi="Calibri"/>
          <w:color w:val="1A1A1A"/>
          <w:sz w:val="21"/>
          <w:szCs w:val="21"/>
        </w:rPr>
        <w:t xml:space="preserve">During the studio, JazzX engineers will need to see real output to diagnose problems, and some of that output contains borrower data. This is legitimate and necessary; what is not acceptable is for it to be unbounded, unlogged, or unknown to us.</w:t>
      </w:r>
    </w:p>
    <w:p>
      <w:pPr>
        <w:pStyle w:val="ListParagraph"/>
        <w:numPr>
          <w:ilvl w:val="0"/>
          <w:numId w:val="3"/>
        </w:numPr>
        <w:spacing w:after="80" w:line="276"/>
      </w:pPr>
      <w:r>
        <w:rPr>
          <w:rFonts w:ascii="Calibri" w:cs="Calibri" w:eastAsia="Calibri" w:hAnsi="Calibri"/>
          <w:b/>
          <w:bCs/>
          <w:color w:val="1A1A1A"/>
          <w:sz w:val="21"/>
          <w:szCs w:val="21"/>
        </w:rPr>
        <w:t xml:space="preserve">Enumerate the individuals</w:t>
      </w:r>
      <w:r>
        <w:rPr>
          <w:rFonts w:ascii="Calibri" w:cs="Calibri" w:eastAsia="Calibri" w:hAnsi="Calibri"/>
          <w:color w:val="1A1A1A"/>
          <w:sz w:val="21"/>
          <w:szCs w:val="21"/>
        </w:rPr>
        <w:t xml:space="preserve"> at JazzX who can access our tenant and our data, by name and role</w:t>
      </w:r>
    </w:p>
    <w:p>
      <w:pPr>
        <w:pStyle w:val="ListParagraph"/>
        <w:numPr>
          <w:ilvl w:val="0"/>
          <w:numId w:val="3"/>
        </w:numPr>
        <w:spacing w:after="80" w:line="276"/>
      </w:pPr>
      <w:r>
        <w:rPr>
          <w:rFonts w:ascii="Calibri" w:cs="Calibri" w:eastAsia="Calibri" w:hAnsi="Calibri"/>
          <w:b/>
          <w:bCs/>
          <w:color w:val="1A1A1A"/>
          <w:sz w:val="21"/>
          <w:szCs w:val="21"/>
        </w:rPr>
        <w:t xml:space="preserve">Require logging</w:t>
      </w:r>
      <w:r>
        <w:rPr>
          <w:rFonts w:ascii="Calibri" w:cs="Calibri" w:eastAsia="Calibri" w:hAnsi="Calibri"/>
          <w:color w:val="1A1A1A"/>
          <w:sz w:val="21"/>
          <w:szCs w:val="21"/>
        </w:rPr>
        <w:t xml:space="preserve"> of vendor access to customer data, and the right to obtain those logs on request</w:t>
      </w:r>
    </w:p>
    <w:p>
      <w:pPr>
        <w:pStyle w:val="ListParagraph"/>
        <w:numPr>
          <w:ilvl w:val="0"/>
          <w:numId w:val="3"/>
        </w:numPr>
        <w:spacing w:after="80" w:line="276"/>
      </w:pPr>
      <w:r>
        <w:rPr>
          <w:rFonts w:ascii="Calibri" w:cs="Calibri" w:eastAsia="Calibri" w:hAnsi="Calibri"/>
          <w:b/>
          <w:bCs/>
          <w:color w:val="1A1A1A"/>
          <w:sz w:val="21"/>
          <w:szCs w:val="21"/>
        </w:rPr>
        <w:t xml:space="preserve">Prefer just-in-time access</w:t>
      </w:r>
      <w:r>
        <w:rPr>
          <w:rFonts w:ascii="Calibri" w:cs="Calibri" w:eastAsia="Calibri" w:hAnsi="Calibri"/>
          <w:color w:val="1A1A1A"/>
          <w:sz w:val="21"/>
          <w:szCs w:val="21"/>
        </w:rPr>
        <w:t xml:space="preserve"> — support access granted for a defined window on a defined issue, rather than standing entitlement</w:t>
      </w:r>
    </w:p>
    <w:p>
      <w:pPr>
        <w:pStyle w:val="ListParagraph"/>
        <w:numPr>
          <w:ilvl w:val="0"/>
          <w:numId w:val="3"/>
        </w:numPr>
        <w:spacing w:after="80" w:line="276"/>
      </w:pPr>
      <w:r>
        <w:rPr>
          <w:rFonts w:ascii="Calibri" w:cs="Calibri" w:eastAsia="Calibri" w:hAnsi="Calibri"/>
          <w:b/>
          <w:bCs/>
          <w:color w:val="1A1A1A"/>
          <w:sz w:val="21"/>
          <w:szCs w:val="21"/>
        </w:rPr>
        <w:t xml:space="preserve">Ask where inference happens.</w:t>
      </w:r>
      <w:r>
        <w:rPr>
          <w:rFonts w:ascii="Calibri" w:cs="Calibri" w:eastAsia="Calibri" w:hAnsi="Calibri"/>
          <w:color w:val="1A1A1A"/>
          <w:sz w:val="21"/>
          <w:szCs w:val="21"/>
        </w:rPr>
        <w:t xml:space="preserve"> If our documents leave the vendor environment for a third-party model provider, that is a different risk conversation (one-pager 27)</w:t>
      </w:r>
    </w:p>
    <w:p>
      <w:pPr>
        <w:pStyle w:val="ListParagraph"/>
        <w:numPr>
          <w:ilvl w:val="0"/>
          <w:numId w:val="3"/>
        </w:numPr>
        <w:spacing w:after="80" w:line="276"/>
      </w:pPr>
      <w:r>
        <w:rPr>
          <w:rFonts w:ascii="Calibri" w:cs="Calibri" w:eastAsia="Calibri" w:hAnsi="Calibri"/>
          <w:b/>
          <w:bCs/>
          <w:color w:val="1A1A1A"/>
          <w:sz w:val="21"/>
          <w:szCs w:val="21"/>
        </w:rPr>
        <w:t xml:space="preserve">Offboarding on their side</w:t>
      </w:r>
      <w:r>
        <w:rPr>
          <w:rFonts w:ascii="Calibri" w:cs="Calibri" w:eastAsia="Calibri" w:hAnsi="Calibri"/>
          <w:color w:val="1A1A1A"/>
          <w:sz w:val="21"/>
          <w:szCs w:val="21"/>
        </w:rPr>
        <w:t xml:space="preserve"> — when a named individual leaves the engagement or the company, their access ends; make this a contractual obligation</w:t>
      </w:r>
    </w:p>
    <w:p>
      <w:pPr>
        <w:pStyle w:val="ListParagraph"/>
        <w:numPr>
          <w:ilvl w:val="0"/>
          <w:numId w:val="3"/>
        </w:numPr>
        <w:spacing w:after="80" w:line="276"/>
      </w:pPr>
      <w:r>
        <w:rPr>
          <w:rFonts w:ascii="Calibri" w:cs="Calibri" w:eastAsia="Calibri" w:hAnsi="Calibri"/>
          <w:b/>
          <w:bCs/>
          <w:color w:val="1A1A1A"/>
          <w:sz w:val="21"/>
          <w:szCs w:val="21"/>
        </w:rPr>
        <w:t xml:space="preserve">No production data in vendor demos</w:t>
      </w:r>
      <w:r>
        <w:rPr>
          <w:rFonts w:ascii="Calibri" w:cs="Calibri" w:eastAsia="Calibri" w:hAnsi="Calibri"/>
          <w:color w:val="1A1A1A"/>
          <w:sz w:val="21"/>
          <w:szCs w:val="21"/>
        </w:rPr>
        <w:t xml:space="preserve">, ever — state it explicitly, because it happens</w:t>
      </w:r>
    </w:p>
    <w:p>
      <w:pPr>
        <w:spacing w:after="80" w:before="200"/>
      </w:pPr>
      <w:r>
        <w:rPr>
          <w:rFonts w:ascii="Calibri" w:cs="Calibri" w:eastAsia="Calibri" w:hAnsi="Calibri"/>
          <w:b/>
          <w:bCs/>
          <w:color w:val="0E3A4F"/>
          <w:sz w:val="22"/>
          <w:szCs w:val="22"/>
        </w:rPr>
        <w:t xml:space="preserve">What Jazz can reach in our systems</w:t>
      </w:r>
    </w:p>
    <w:p>
      <w:pPr>
        <w:pStyle w:val="ListParagraph"/>
        <w:numPr>
          <w:ilvl w:val="0"/>
          <w:numId w:val="4"/>
        </w:numPr>
        <w:spacing w:after="80" w:line="276"/>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service identity</w:t>
      </w:r>
      <w:r>
        <w:rPr>
          <w:rFonts w:ascii="Calibri" w:cs="Calibri" w:eastAsia="Calibri" w:hAnsi="Calibri"/>
          <w:color w:val="1A1A1A"/>
          <w:sz w:val="21"/>
          <w:szCs w:val="21"/>
        </w:rPr>
        <w:t xml:space="preserve">, not a person's account, and not one shared with another integration.</w:t>
      </w:r>
    </w:p>
    <w:p>
      <w:pPr>
        <w:pStyle w:val="ListParagraph"/>
        <w:numPr>
          <w:ilvl w:val="0"/>
          <w:numId w:val="4"/>
        </w:numPr>
        <w:spacing w:after="80" w:line="276"/>
      </w:pPr>
      <w:r>
        <w:rPr>
          <w:rFonts w:ascii="Calibri" w:cs="Calibri" w:eastAsia="Calibri" w:hAnsi="Calibri"/>
          <w:b/>
          <w:bCs/>
          <w:color w:val="1A1A1A"/>
          <w:sz w:val="21"/>
          <w:szCs w:val="21"/>
        </w:rPr>
        <w:t xml:space="preserve">Read-only by permission</w:t>
      </w:r>
      <w:r>
        <w:rPr>
          <w:rFonts w:ascii="Calibri" w:cs="Calibri" w:eastAsia="Calibri" w:hAnsi="Calibri"/>
          <w:color w:val="1A1A1A"/>
          <w:sz w:val="21"/>
          <w:szCs w:val="21"/>
        </w:rPr>
        <w:t xml:space="preserve">, enforced by the grant itself rather than by an application-layer promise.</w:t>
      </w:r>
    </w:p>
    <w:p>
      <w:pPr>
        <w:pStyle w:val="ListParagraph"/>
        <w:numPr>
          <w:ilvl w:val="0"/>
          <w:numId w:val="4"/>
        </w:numPr>
        <w:spacing w:after="80" w:line="276"/>
      </w:pPr>
      <w:r>
        <w:rPr>
          <w:rFonts w:ascii="Calibri" w:cs="Calibri" w:eastAsia="Calibri" w:hAnsi="Calibri"/>
          <w:b/>
          <w:bCs/>
          <w:color w:val="1A1A1A"/>
          <w:sz w:val="21"/>
          <w:szCs w:val="21"/>
        </w:rPr>
        <w:t xml:space="preserve">Scoped to the cohort</w:t>
      </w:r>
      <w:r>
        <w:rPr>
          <w:rFonts w:ascii="Calibri" w:cs="Calibri" w:eastAsia="Calibri" w:hAnsi="Calibri"/>
          <w:color w:val="1A1A1A"/>
          <w:sz w:val="21"/>
          <w:szCs w:val="21"/>
        </w:rPr>
        <w:t xml:space="preserve"> where the platform allows it — the studio has no need to reach loans outside the slice.</w:t>
      </w:r>
    </w:p>
    <w:p>
      <w:pPr>
        <w:pStyle w:val="ListParagraph"/>
        <w:numPr>
          <w:ilvl w:val="0"/>
          <w:numId w:val="4"/>
        </w:numPr>
        <w:spacing w:after="80" w:line="276"/>
      </w:pPr>
      <w:r>
        <w:rPr>
          <w:rFonts w:ascii="Calibri" w:cs="Calibri" w:eastAsia="Calibri" w:hAnsi="Calibri"/>
          <w:b/>
          <w:bCs/>
          <w:color w:val="1A1A1A"/>
          <w:sz w:val="21"/>
          <w:szCs w:val="21"/>
        </w:rPr>
        <w:t xml:space="preserve">Credentials rotated</w:t>
      </w:r>
      <w:r>
        <w:rPr>
          <w:rFonts w:ascii="Calibri" w:cs="Calibri" w:eastAsia="Calibri" w:hAnsi="Calibri"/>
          <w:color w:val="1A1A1A"/>
          <w:sz w:val="21"/>
          <w:szCs w:val="21"/>
        </w:rPr>
        <w:t xml:space="preserve"> on a defined schedule, with a named owner and expiry alerting (one-pager 22).</w:t>
      </w:r>
    </w:p>
    <w:p>
      <w:pPr>
        <w:pStyle w:val="ListParagraph"/>
        <w:numPr>
          <w:ilvl w:val="0"/>
          <w:numId w:val="4"/>
        </w:numPr>
        <w:spacing w:after="80" w:line="276"/>
      </w:pPr>
      <w:r>
        <w:rPr>
          <w:rFonts w:ascii="Calibri" w:cs="Calibri" w:eastAsia="Calibri" w:hAnsi="Calibri"/>
          <w:b/>
          <w:bCs/>
          <w:color w:val="1A1A1A"/>
          <w:sz w:val="21"/>
          <w:szCs w:val="21"/>
        </w:rPr>
        <w:t xml:space="preserve">Network path restricted</w:t>
      </w:r>
      <w:r>
        <w:rPr>
          <w:rFonts w:ascii="Calibri" w:cs="Calibri" w:eastAsia="Calibri" w:hAnsi="Calibri"/>
          <w:color w:val="1A1A1A"/>
          <w:sz w:val="21"/>
          <w:szCs w:val="21"/>
        </w:rPr>
        <w:t xml:space="preserve"> — allow-listed, encrypted, and logged at the boundary.</w:t>
      </w:r>
    </w:p>
    <w:p>
      <w:pPr>
        <w:pStyle w:val="ListParagraph"/>
        <w:numPr>
          <w:ilvl w:val="0"/>
          <w:numId w:val="4"/>
        </w:numPr>
        <w:spacing w:after="80" w:line="276"/>
      </w:pPr>
      <w:r>
        <w:rPr>
          <w:rFonts w:ascii="Calibri" w:cs="Calibri" w:eastAsia="Calibri" w:hAnsi="Calibri"/>
          <w:b/>
          <w:bCs/>
          <w:color w:val="1A1A1A"/>
          <w:sz w:val="21"/>
          <w:szCs w:val="21"/>
        </w:rPr>
        <w:t xml:space="preserve">Every call logged</w:t>
      </w:r>
      <w:r>
        <w:rPr>
          <w:rFonts w:ascii="Calibri" w:cs="Calibri" w:eastAsia="Calibri" w:hAnsi="Calibri"/>
          <w:color w:val="1A1A1A"/>
          <w:sz w:val="21"/>
          <w:szCs w:val="21"/>
        </w:rPr>
        <w:t xml:space="preserve"> with enough detail to reconstruct what was accessed for any loan.</w:t>
      </w:r>
    </w:p>
    <w:p>
      <w:pPr>
        <w:pStyle w:val="ListParagraph"/>
        <w:numPr>
          <w:ilvl w:val="0"/>
          <w:numId w:val="4"/>
        </w:numPr>
        <w:spacing w:after="80" w:line="276"/>
      </w:pPr>
      <w:r>
        <w:rPr>
          <w:rFonts w:ascii="Calibri" w:cs="Calibri" w:eastAsia="Calibri" w:hAnsi="Calibri"/>
          <w:b/>
          <w:bCs/>
          <w:color w:val="1A1A1A"/>
          <w:sz w:val="21"/>
          <w:szCs w:val="21"/>
        </w:rPr>
        <w:t xml:space="preserve">A kill switch</w:t>
      </w:r>
      <w:r>
        <w:rPr>
          <w:rFonts w:ascii="Calibri" w:cs="Calibri" w:eastAsia="Calibri" w:hAnsi="Calibri"/>
          <w:color w:val="1A1A1A"/>
          <w:sz w:val="21"/>
          <w:szCs w:val="21"/>
        </w:rPr>
        <w:t xml:space="preserve"> — one named action that severs the integration immediately, tested before Day 1.</w:t>
      </w:r>
    </w:p>
    <w:p>
      <w:pPr>
        <w:spacing w:after="80" w:before="200"/>
      </w:pPr>
      <w:r>
        <w:rPr>
          <w:rFonts w:ascii="Calibri" w:cs="Calibri" w:eastAsia="Calibri" w:hAnsi="Calibri"/>
          <w:b/>
          <w:bCs/>
          <w:color w:val="0E3A4F"/>
          <w:sz w:val="22"/>
          <w:szCs w:val="22"/>
        </w:rPr>
        <w:t xml:space="preserve">Segregation of duties</w:t>
      </w:r>
    </w:p>
    <w:p>
      <w:pPr>
        <w:pStyle w:val="ListParagraph"/>
        <w:numPr>
          <w:ilvl w:val="0"/>
          <w:numId w:val="3"/>
        </w:numPr>
        <w:spacing w:after="80" w:line="276"/>
      </w:pPr>
      <w:r>
        <w:rPr>
          <w:rFonts w:ascii="Calibri" w:cs="Calibri" w:eastAsia="Calibri" w:hAnsi="Calibri"/>
          <w:color w:val="1A1A1A"/>
          <w:sz w:val="21"/>
          <w:szCs w:val="21"/>
        </w:rPr>
        <w:t xml:space="preserve">The person who </w:t>
      </w:r>
      <w:r>
        <w:rPr>
          <w:rFonts w:ascii="Calibri" w:cs="Calibri" w:eastAsia="Calibri" w:hAnsi="Calibri"/>
          <w:b/>
          <w:bCs/>
          <w:color w:val="1A1A1A"/>
          <w:sz w:val="21"/>
          <w:szCs w:val="21"/>
        </w:rPr>
        <w:t xml:space="preserve">makes</w:t>
      </w:r>
      <w:r>
        <w:rPr>
          <w:rFonts w:ascii="Calibri" w:cs="Calibri" w:eastAsia="Calibri" w:hAnsi="Calibri"/>
          <w:color w:val="1A1A1A"/>
          <w:sz w:val="21"/>
          <w:szCs w:val="21"/>
        </w:rPr>
        <w:t xml:space="preserve"> a borrower-affecting tuning change is not the person who </w:t>
      </w:r>
      <w:r>
        <w:rPr>
          <w:rFonts w:ascii="Calibri" w:cs="Calibri" w:eastAsia="Calibri" w:hAnsi="Calibri"/>
          <w:b/>
          <w:bCs/>
          <w:color w:val="1A1A1A"/>
          <w:sz w:val="21"/>
          <w:szCs w:val="21"/>
        </w:rPr>
        <w:t xml:space="preserve">approves</w:t>
      </w:r>
      <w:r>
        <w:rPr>
          <w:rFonts w:ascii="Calibri" w:cs="Calibri" w:eastAsia="Calibri" w:hAnsi="Calibri"/>
          <w:color w:val="1A1A1A"/>
          <w:sz w:val="21"/>
          <w:szCs w:val="21"/>
        </w:rPr>
        <w:t xml:space="preserve"> it (one-pager 15)</w:t>
      </w:r>
    </w:p>
    <w:p>
      <w:pPr>
        <w:pStyle w:val="ListParagraph"/>
        <w:numPr>
          <w:ilvl w:val="0"/>
          <w:numId w:val="3"/>
        </w:numPr>
        <w:spacing w:after="80" w:line="276"/>
      </w:pPr>
      <w:r>
        <w:rPr>
          <w:rFonts w:ascii="Calibri" w:cs="Calibri" w:eastAsia="Calibri" w:hAnsi="Calibri"/>
          <w:color w:val="1A1A1A"/>
          <w:sz w:val="21"/>
          <w:szCs w:val="21"/>
        </w:rPr>
        <w:t xml:space="preserve">The person who administers access does not also tune</w:t>
      </w:r>
    </w:p>
    <w:p>
      <w:pPr>
        <w:pStyle w:val="ListParagraph"/>
        <w:numPr>
          <w:ilvl w:val="0"/>
          <w:numId w:val="3"/>
        </w:numPr>
        <w:spacing w:after="80" w:line="276"/>
      </w:pPr>
      <w:r>
        <w:rPr>
          <w:rFonts w:ascii="Calibri" w:cs="Calibri" w:eastAsia="Calibri" w:hAnsi="Calibri"/>
          <w:color w:val="1A1A1A"/>
          <w:sz w:val="21"/>
          <w:szCs w:val="21"/>
        </w:rPr>
        <w:t xml:space="preserve">The analyst who measures whether a change worked is independent of whoever made it</w:t>
      </w:r>
    </w:p>
    <w:p>
      <w:pPr>
        <w:pStyle w:val="ListParagraph"/>
        <w:numPr>
          <w:ilvl w:val="0"/>
          <w:numId w:val="3"/>
        </w:numPr>
        <w:spacing w:after="80" w:line="276"/>
      </w:pPr>
      <w:r>
        <w:rPr>
          <w:rFonts w:ascii="Calibri" w:cs="Calibri" w:eastAsia="Calibri" w:hAnsi="Calibri"/>
          <w:color w:val="1A1A1A"/>
          <w:sz w:val="21"/>
          <w:szCs w:val="21"/>
        </w:rPr>
        <w:t xml:space="preserve">Control functions have read access without needing to ask the studio for it</w:t>
      </w:r>
    </w:p>
    <w:p>
      <w:pPr>
        <w:pStyle w:val="ListParagraph"/>
        <w:numPr>
          <w:ilvl w:val="0"/>
          <w:numId w:val="3"/>
        </w:numPr>
        <w:spacing w:after="80" w:line="276"/>
      </w:pPr>
      <w:r>
        <w:rPr>
          <w:rFonts w:ascii="Calibri" w:cs="Calibri" w:eastAsia="Calibri" w:hAnsi="Calibri"/>
          <w:color w:val="1A1A1A"/>
          <w:sz w:val="21"/>
          <w:szCs w:val="21"/>
        </w:rPr>
        <w:t xml:space="preserve">No individual holds every role — if the studio is small enough that this is difficult, document the exception and compensate with logging and review</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Access register — reviewed at every gate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1497"/>
        <w:gridCol w:w="1497"/>
        <w:gridCol w:w="1497"/>
        <w:gridCol w:w="1497"/>
        <w:gridCol w:w="1500"/>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Name</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System</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Granted</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Last reviewed</w:t>
            </w:r>
          </w:p>
        </w:tc>
        <w:tc>
          <w:tcPr>
            <w:tcW w:type="dxa" w:w="150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Revoked</w:t>
            </w:r>
          </w:p>
        </w:tc>
      </w:tr>
      <w:tr>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user / Tuner / Analyst / Admin / Auditor</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50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50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50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50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Include vendor-side individuals in the same register. One list, not two, is what makes the review meaningful.</w:t>
      </w:r>
    </w:p>
    <w:p>
      <w:pPr>
        <w:spacing w:after="80" w:before="200"/>
      </w:pPr>
      <w:r>
        <w:rPr>
          <w:rFonts w:ascii="Calibri" w:cs="Calibri" w:eastAsia="Calibri" w:hAnsi="Calibri"/>
          <w:b/>
          <w:bCs/>
          <w:color w:val="0E3A4F"/>
          <w:sz w:val="22"/>
          <w:szCs w:val="22"/>
        </w:rPr>
        <w:t xml:space="preserve">Day 90 deprovisioning checklist — executed whatever the outcome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931"/>
        <w:gridCol w:w="1684"/>
        <w:gridCol w:w="2246"/>
        <w:gridCol w:w="1499"/>
      </w:tblGrid>
      <w:tr>
        <w:trPr>
          <w:tblHeader/>
        </w:trPr>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Action</w:t>
            </w:r>
          </w:p>
        </w:tc>
        <w:tc>
          <w:tcPr>
            <w:tcW w:type="dxa" w:w="168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Owner</w:t>
            </w:r>
          </w:p>
        </w:tc>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Evidence</w:t>
            </w:r>
          </w:p>
        </w:tc>
        <w:tc>
          <w:tcPr>
            <w:tcW w:type="dxa" w:w="149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Done</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user accounts disabled</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Access report</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Tuner and admin entitlements revoked</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Access report</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Service identity disabled or scoped down</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Config evidence</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Credentials and keys rotated or destroyed</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Key inventory</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Vendor-side access terminated</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Third-Party Risk</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Written confirmation</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Network allow-list entries removed</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Firewall record</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deletion requested and certified</w:t>
            </w:r>
          </w:p>
        </w:tc>
        <w:tc>
          <w:tcPr>
            <w:tcW w:type="dxa" w:w="168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Certificate of deletion</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Access register closed and archived</w:t>
            </w:r>
          </w:p>
        </w:tc>
        <w:tc>
          <w:tcPr>
            <w:tcW w:type="dxa" w:w="168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Archived register</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On a Scale outcome this becomes a re-provisioning exercise against the production role model — not a decision to leave studio access in place indefinitely.</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Role model defined; access provisioned; kill switch tested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Access live</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New access requests reviewed against the role model</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Register updated</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each gate</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Full access review — is anyone holding access they no longer need?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Reviewed register</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Monthly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 access logs requested and reviewed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 access report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90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Deprovisioning executed with evidence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Completed checklist</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Named accounts with MFA; no shared credentials anywhere in the studio</w:t>
      </w:r>
    </w:p>
    <w:p>
      <w:pPr>
        <w:pStyle w:val="ListParagraph"/>
        <w:numPr>
          <w:ilvl w:val="0"/>
          <w:numId w:val="3"/>
        </w:numPr>
        <w:spacing w:after="80" w:line="276"/>
      </w:pPr>
      <w:r>
        <w:rPr>
          <w:rFonts w:ascii="Calibri" w:cs="Calibri" w:eastAsia="Calibri" w:hAnsi="Calibri"/>
          <w:color w:val="1A1A1A"/>
          <w:sz w:val="21"/>
          <w:szCs w:val="21"/>
        </w:rPr>
        <w:t xml:space="preserve">Use and change rights held as separate roles</w:t>
      </w:r>
    </w:p>
    <w:p>
      <w:pPr>
        <w:pStyle w:val="ListParagraph"/>
        <w:numPr>
          <w:ilvl w:val="0"/>
          <w:numId w:val="3"/>
        </w:numPr>
        <w:spacing w:after="80" w:line="276"/>
      </w:pPr>
      <w:r>
        <w:rPr>
          <w:rFonts w:ascii="Calibri" w:cs="Calibri" w:eastAsia="Calibri" w:hAnsi="Calibri"/>
          <w:color w:val="1A1A1A"/>
          <w:sz w:val="21"/>
          <w:szCs w:val="21"/>
        </w:rPr>
        <w:t xml:space="preserve">Vendor-side individuals enumerated and their access logged and obtainable</w:t>
      </w:r>
    </w:p>
    <w:p>
      <w:pPr>
        <w:pStyle w:val="ListParagraph"/>
        <w:numPr>
          <w:ilvl w:val="0"/>
          <w:numId w:val="3"/>
        </w:numPr>
        <w:spacing w:after="80" w:line="276"/>
      </w:pPr>
      <w:r>
        <w:rPr>
          <w:rFonts w:ascii="Calibri" w:cs="Calibri" w:eastAsia="Calibri" w:hAnsi="Calibri"/>
          <w:color w:val="1A1A1A"/>
          <w:sz w:val="21"/>
          <w:szCs w:val="21"/>
        </w:rPr>
        <w:t xml:space="preserve">Read-only enforced technically, with a tested kill switch</w:t>
      </w:r>
    </w:p>
    <w:p>
      <w:pPr>
        <w:pStyle w:val="ListParagraph"/>
        <w:numPr>
          <w:ilvl w:val="0"/>
          <w:numId w:val="3"/>
        </w:numPr>
        <w:spacing w:after="80" w:line="276"/>
      </w:pPr>
      <w:r>
        <w:rPr>
          <w:rFonts w:ascii="Calibri" w:cs="Calibri" w:eastAsia="Calibri" w:hAnsi="Calibri"/>
          <w:color w:val="1A1A1A"/>
          <w:sz w:val="21"/>
          <w:szCs w:val="21"/>
        </w:rPr>
        <w:t xml:space="preserve">Access reviewed at every gate and fully deprovisioned by Day 90 with evidence</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Shared studio login created for convenience early on</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accounts from day one; a shared credential is a Sev 2 finding</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 access to borrower data is unbounded and unlogged</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Enumerated individuals, logged access, just-in-time where possible, contractual offboarding</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Third-Party Risk</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Read-only is a policy statement rather than a permission grant</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Enforced in the grant; write attempts monitored as a tripwire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Access persists after Day 90 because nobody owned the shutdown</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Deprovisioning is a dated deliverable with named owners and evidence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lead</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 person holds every role in a small studio</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Segregation documented; exceptions compensated with logging and independent review</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Production borrower data used in a vendor demo</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Prohibited explicitly in the SOW and restated at kickoff</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Third-Party Risk</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Access Controls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Controls</dc:title>
  <dc:creator>Design Studio Program Office</dc:creator>
  <dc:description>Who can see borrower data, who can change behaviour, and who turns it all off on Day 91.</dc:description>
  <cp:lastModifiedBy>Un-named</cp:lastModifiedBy>
  <cp:revision>1</cp:revision>
  <dcterms:created xsi:type="dcterms:W3CDTF">2026-08-04T00:29:15.651Z</dcterms:created>
  <dcterms:modified xsi:type="dcterms:W3CDTF">2026-08-04T00:29:15.651Z</dcterms:modified>
</cp:coreProperties>
</file>

<file path=docProps/custom.xml><?xml version="1.0" encoding="utf-8"?>
<Properties xmlns="http://schemas.openxmlformats.org/officeDocument/2006/custom-properties" xmlns:vt="http://schemas.openxmlformats.org/officeDocument/2006/docPropsVTypes"/>
</file>