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3E8FA3"/>
          <w:spacing w:val="30"/>
          <w:sz w:val="17"/>
          <w:szCs w:val="17"/>
        </w:rPr>
        <w:t xml:space="preserve">EXECUTION — LAUNCH DESIGN STUDIO  │  ONE-PAGER 08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E3A4F"/>
          <w:sz w:val="40"/>
          <w:szCs w:val="40"/>
        </w:rPr>
        <w:t xml:space="preserve">Launch Design Studio</w:t>
      </w:r>
    </w:p>
    <w:p>
      <w:pPr>
        <w:pBdr>
          <w:bottom w:val="single" w:color="1B6B7C" w:sz="12" w:space="8"/>
        </w:pBdr>
        <w:spacing w:after="200"/>
      </w:pPr>
      <w:r>
        <w:rPr>
          <w:rFonts w:ascii="Calibri" w:cs="Calibri" w:eastAsia="Calibri" w:hAnsi="Calibri"/>
          <w:i/>
          <w:iCs/>
          <w:color w:val="5A6B73"/>
          <w:sz w:val="21"/>
          <w:szCs w:val="21"/>
        </w:rPr>
        <w:t xml:space="preserve">Standing up a small, protected team that runs real loans through a parallel path.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PURPOSE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 define what the Design Studio actually is as an operating unit: who is in it, what work flows through it, how that work differs from the standard workflow, and how it learns each week. This is the umbrella for one-pagers 09 through 13, each of which details one component. Read this first; the others are the operating detail.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OWNER &amp; RACI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182"/>
        <w:gridCol w:w="3744"/>
        <w:gridCol w:w="2434"/>
      </w:tblGrid>
      <w:tr>
        <w:trPr>
          <w:tblHeader/>
        </w:trPr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Who (fill in at G0)</w:t>
            </w:r>
          </w:p>
        </w:tc>
        <w:tc>
          <w:tcPr>
            <w:tcW w:type="dxa" w:w="243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 / A / C / I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Design Studio Lead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owns the studio as an operating unit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Head of Underwriting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releases the people, owns process truth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Head of Operations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workflow and capacity impact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JazzX Engagement Lead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vendor-side delivery and enablement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Sponsor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protects the studio from BAU reabsorption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DECISIONS THIS DOCUMENT MAKES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studio is 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small, named, protected team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not a committee and not a side-of-desk assignment. Six to eight people with real capacity relief beats twenty with none.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studio runs 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parallel path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real loans, real files, real conditions, with the standard workflow remaining the system of record throughout the shadow phase.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studio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co-located or reliably co-present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for at least the first two weeks. Observation and rapid learning do not survive a fully asynchronous start.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studio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owns its own backlog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Tuning priorities are set inside the weekly loop by the people doing the work, not by a steering committee reading a report.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studio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time-boxed to 90 days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and either converts to a permanent capability at G4 or dissolves. It does not quietly persist.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THE FRAMEWORK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The five components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1497"/>
        <w:gridCol w:w="5055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1497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Detail in</w:t>
            </w:r>
          </w:p>
        </w:tc>
        <w:tc>
          <w:tcPr>
            <w:tcW w:type="dxa" w:w="5055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The one thing that matters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Small cross-functional team</w:t>
            </w:r>
          </w:p>
        </w:tc>
        <w:tc>
          <w:tcPr>
            <w:tcW w:type="dxa" w:w="14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One-pager 09</w:t>
            </w:r>
          </w:p>
        </w:tc>
        <w:tc>
          <w:tcPr>
            <w:tcW w:type="dxa" w:w="505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Named seats with funded capacity relief — not volunteers on top of a full pipeline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Loan types and market</w:t>
            </w:r>
          </w:p>
        </w:tc>
        <w:tc>
          <w:tcPr>
            <w:tcW w:type="dxa" w:w="149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One-pager 10</w:t>
            </w:r>
          </w:p>
        </w:tc>
        <w:tc>
          <w:tcPr>
            <w:tcW w:type="dxa" w:w="5055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Narrow enough to reach sample size, representative enough that the result generalises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Process design vs. current workflow</w:t>
            </w:r>
          </w:p>
        </w:tc>
        <w:tc>
          <w:tcPr>
            <w:tcW w:type="dxa" w:w="14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One-pager 11</w:t>
            </w:r>
          </w:p>
        </w:tc>
        <w:tc>
          <w:tcPr>
            <w:tcW w:type="dxa" w:w="505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An unambiguous rule for when a loan leaves the studio and returns to the standard path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Weekly feedback loop</w:t>
            </w:r>
          </w:p>
        </w:tc>
        <w:tc>
          <w:tcPr>
            <w:tcW w:type="dxa" w:w="149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One-pager 12</w:t>
            </w:r>
          </w:p>
        </w:tc>
        <w:tc>
          <w:tcPr>
            <w:tcW w:type="dxa" w:w="5055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Every cycle ends with a decision and a visible change, or participants stop contributing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Observing real activity</w:t>
            </w:r>
          </w:p>
        </w:tc>
        <w:tc>
          <w:tcPr>
            <w:tcW w:type="dxa" w:w="14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One-pager 13</w:t>
            </w:r>
          </w:p>
        </w:tc>
        <w:tc>
          <w:tcPr>
            <w:tcW w:type="dxa" w:w="505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Watch what people do, not what the process document says they do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What a studio loan actually looks like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loan matching the slice definition enters the pipeline and is tagged for the studio cohort.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file is worked normally by the studio underwriter or processor — the standard workflow is unchanged and remains the system of record.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 parallel, the file is processed by Jazz: documents recognised, data extracted, conditions proposed.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studio participant reviews the Jazz output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after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forming their own view, so the comparison is not anchored by seeing the answer first.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Differences are recorded in the comparison log: what Jazz caught that the human did not, what the human caught that Jazz did not, and what Jazz got wrong.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human decision stands. Jazz output never reaches the borrower or the file during the shadow phase.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Differences feed the weekly loop, become tuning items, and are tracked to resolution in the improvement log.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Sequencing that matters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Two ordering decisions do more for evidence quality than anything else in the studio, and both are easy to get wrong under time pressure.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Human first, then Jazz.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If the participant sees the Jazz output before forming a view, anchoring destroys the comparison and the recall measurement becomes meaningless. Enforce it in the workflow, not by asking nicely.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Observe before you tune.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Weeks 1–2 are for watching the current process, not for improving Jazz. Tuning against a misunderstood process bakes in the misunderstanding and is expensive to unwind at Week 8.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ARTIFACTS &amp; TEMPLATES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Studio setup checklist — complete before G0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5803"/>
        <w:gridCol w:w="2246"/>
        <w:gridCol w:w="1311"/>
      </w:tblGrid>
      <w:tr>
        <w:trPr>
          <w:tblHeader/>
        </w:trPr>
        <w:tc>
          <w:tcPr>
            <w:tcW w:type="dxa" w:w="580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46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  <w:tc>
          <w:tcPr>
            <w:tcW w:type="dxa" w:w="1311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Done</w:t>
            </w:r>
          </w:p>
        </w:tc>
      </w:tr>
      <w:tr>
        <w:tc>
          <w:tcPr>
            <w:tcW w:type="dxa" w:w="58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Team named, released, and capacity relief funded</w:t>
            </w:r>
          </w:p>
        </w:tc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Head of UW</w:t>
            </w:r>
          </w:p>
        </w:tc>
        <w:tc>
          <w:tcPr>
            <w:tcW w:type="dxa" w:w="131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580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Loan slice defined with a written inclusion rule</w:t>
            </w:r>
          </w:p>
        </w:tc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131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58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Cohort tagging working in the LOS</w:t>
            </w:r>
          </w:p>
        </w:tc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</w:t>
            </w:r>
          </w:p>
        </w:tc>
        <w:tc>
          <w:tcPr>
            <w:tcW w:type="dxa" w:w="131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580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 environment provisioned and accessible</w:t>
            </w:r>
          </w:p>
        </w:tc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JazzX</w:t>
            </w:r>
          </w:p>
        </w:tc>
        <w:tc>
          <w:tcPr>
            <w:tcW w:type="dxa" w:w="131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58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LOS data extraction validated end to end</w:t>
            </w:r>
          </w:p>
        </w:tc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 + JazzX</w:t>
            </w:r>
          </w:p>
        </w:tc>
        <w:tc>
          <w:tcPr>
            <w:tcW w:type="dxa" w:w="131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580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Comparison log built and tested with a real file</w:t>
            </w:r>
          </w:p>
        </w:tc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131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58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Baseline instrumentation live</w:t>
            </w:r>
          </w:p>
        </w:tc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 analyst</w:t>
            </w:r>
          </w:p>
        </w:tc>
        <w:tc>
          <w:tcPr>
            <w:tcW w:type="dxa" w:w="131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580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space and weekly meeting slot secured</w:t>
            </w:r>
          </w:p>
        </w:tc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131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58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Security review signed off</w:t>
            </w:r>
          </w:p>
        </w:tc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InfoSec</w:t>
            </w:r>
          </w:p>
        </w:tc>
        <w:tc>
          <w:tcPr>
            <w:tcW w:type="dxa" w:w="131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580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Kickoff communication delivered</w:t>
            </w:r>
          </w:p>
        </w:tc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Sponsor</w:t>
            </w:r>
          </w:p>
        </w:tc>
        <w:tc>
          <w:tcPr>
            <w:tcW w:type="dxa" w:w="131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Volume plan — track weekly from Day 15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246"/>
        <w:gridCol w:w="2433"/>
        <w:gridCol w:w="1872"/>
        <w:gridCol w:w="2809"/>
      </w:tblGrid>
      <w:tr>
        <w:trPr>
          <w:tblHeader/>
        </w:trPr>
        <w:tc>
          <w:tcPr>
            <w:tcW w:type="dxa" w:w="2246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243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 studio loans / week</w:t>
            </w:r>
          </w:p>
        </w:tc>
        <w:tc>
          <w:tcPr>
            <w:tcW w:type="dxa" w:w="187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Cumulative</w:t>
            </w:r>
          </w:p>
        </w:tc>
        <w:tc>
          <w:tcPr>
            <w:tcW w:type="dxa" w:w="280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Weeks 3–4</w:t>
            </w:r>
          </w:p>
        </w:tc>
        <w:tc>
          <w:tcPr>
            <w:tcW w:type="dxa" w:w="243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5–10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10–20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Prove the mechanics work</w:t>
            </w:r>
          </w:p>
        </w:tc>
      </w:tr>
      <w:tr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Weeks 5–8</w:t>
            </w:r>
          </w:p>
        </w:tc>
        <w:tc>
          <w:tcPr>
            <w:tcW w:type="dxa" w:w="243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20–30</w:t>
            </w:r>
          </w:p>
        </w:tc>
        <w:tc>
          <w:tcPr>
            <w:tcW w:type="dxa" w:w="187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90–140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Build the quality sample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Weeks 9–12</w:t>
            </w:r>
          </w:p>
        </w:tc>
        <w:tc>
          <w:tcPr>
            <w:tcW w:type="dxa" w:w="243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15–25 (live slice)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150–240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Live evidence and cycle-time</w:t>
            </w:r>
          </w:p>
        </w:tc>
      </w:tr>
    </w:tbl>
    <w:p>
      <w:pPr>
        <w:spacing w:after="160" w:before="80"/>
      </w:pPr>
      <w:r>
        <w:rPr>
          <w:rFonts w:ascii="Calibri" w:cs="Calibri" w:eastAsia="Calibri" w:hAnsi="Calibri"/>
          <w:i/>
          <w:iCs/>
          <w:color w:val="5A6B73"/>
          <w:sz w:val="18"/>
          <w:szCs w:val="18"/>
        </w:rPr>
        <w:t xml:space="preserve">A shortfall against cumulative target at Day 45 triggers a scope conversation — not a silent hope that volume recovers.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CADENCE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059"/>
        <w:gridCol w:w="4492"/>
        <w:gridCol w:w="2809"/>
      </w:tblGrid>
      <w:tr>
        <w:trPr>
          <w:tblHeader/>
        </w:trPr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449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tcW w:type="dxa" w:w="280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Daily (Weeks 1–4)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15-minute standing debrief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Observation log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Weekly, Thu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Feedback loop — see one-pager 12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Tuning backlog, decisions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Weekly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Volume and completion-rate check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Trajectory against sample target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Biweekly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Steering update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Gate trajectory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At gates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evidence contributed to the gate pack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Gate evidence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DEFINITION OF DONE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Studio operating with named people and delivered capacity relief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Comparison log complete for at least 95% of studio loans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Human-first sequencing enforced in the workflow, not merely requested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Cumulative loan volume on track to the sample target agreed at G0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Weekly loop has produced a visible change every week it has run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RISKS &amp; ESCALATION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4212"/>
        <w:gridCol w:w="2340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421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  <w:tc>
          <w:tcPr>
            <w:tcW w:type="dxa" w:w="234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Escalates to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reabsorbed into BAU during a volume spike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Sponsor protection; named backfill; release re-confirmed at every gate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Sponsor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Participants see Jazz output first and anchor on it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Sequencing enforced in the workflow; spot-checked weekly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Volume too low to reach a usable sample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Weekly tracking from Day 15; scope conversation triggered at Day 45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Tuning starts before the current process is understood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Weeks 1–2 ring-fenced for observation; no tuning items accepted before Day 15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persists past Day 90 without a decision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Time-box is in the charter; G4 converts or dissolves it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Steering Committee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C" w:sz="4" w:space="6"/>
      </w:pBdr>
    </w:pPr>
    <w:r>
      <w:rPr>
        <w:rFonts w:ascii="Calibri" w:cs="Calibri" w:eastAsia="Calibri" w:hAnsi="Calibri"/>
        <w:color w:val="5A6B73"/>
        <w:sz w:val="16"/>
        <w:szCs w:val="16"/>
      </w:rPr>
      <w:t xml:space="preserve">JazzX Design Studio — 90-Day Framework  │  Launch Design Studio   </w:t>
    </w:r>
    <w:r>
      <w:rPr>
        <w:rFonts w:ascii="Calibri" w:cs="Calibri" w:eastAsia="Calibri" w:hAnsi="Calibri"/>
        <w:color w:val="5A6B7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3" w:hanging="259"/>
      </w:pPr>
      <w:rPr>
        <w:color w:val="1B6B7C"/>
        <w:sz w:val="21"/>
        <w:szCs w:val="21"/>
      </w:rPr>
    </w:lvl>
    <w:lvl w:ilvl="1" w15:tentative="1">
      <w:start w:val="1"/>
      <w:numFmt w:val="bullet"/>
      <w:lvlText w:val="○"/>
      <w:lvlJc w:val="left"/>
      <w:pPr>
        <w:ind w:left="763" w:hanging="259"/>
      </w:pPr>
      <w:rPr>
        <w:color w:val="5A6B73"/>
        <w:sz w:val="21"/>
        <w:szCs w:val="21"/>
      </w:rPr>
    </w:lvl>
    <w:lvl w:ilvl="2" w15:tentative="1">
      <w:start w:val="1"/>
      <w:numFmt w:val="bullet"/>
      <w:lvlText w:val="▪"/>
      <w:lvlJc w:val="left"/>
      <w:pPr>
        <w:ind w:left="1123" w:hanging="259"/>
      </w:pPr>
      <w:rPr>
        <w:color w:val="5A6B73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  <w:rPr>
        <w:b/>
        <w:bCs/>
        <w:color w:val="1B6B7C"/>
        <w:sz w:val="21"/>
        <w:szCs w:val="21"/>
      </w:rPr>
    </w:lvl>
    <w:lvl w:ilvl="1" w15:tentative="1">
      <w:start w:val="1"/>
      <w:numFmt w:val="lowerLetter"/>
      <w:lvlText w:val="%2."/>
      <w:lvlJc w:val="left"/>
      <w:pPr>
        <w:ind w:left="835" w:hanging="316"/>
      </w:pPr>
      <w:rPr>
        <w:color w:val="5A6B73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Launch Design Studio</dc:title>
  <dc:creator>Design Studio Program Office</dc:creator>
  <dc:description>Standing up a small, protected team that runs real loans through a parallel path.</dc:description>
  <cp:lastModifiedBy>Un-named</cp:lastModifiedBy>
  <cp:revision>1</cp:revision>
  <dcterms:created xsi:type="dcterms:W3CDTF">2026-08-04T00:16:04.865Z</dcterms:created>
  <dcterms:modified xsi:type="dcterms:W3CDTF">2026-08-04T00:16:04.865Z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