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3E8FA3"/>
          <w:spacing w:val="30"/>
          <w:sz w:val="17"/>
          <w:szCs w:val="17"/>
        </w:rPr>
        <w:t xml:space="preserve">EXECUTION — LAUNCH DESIGN STUDIO  │  ONE-PAGER 09</w:t>
      </w:r>
    </w:p>
    <w:p>
      <w:pPr>
        <w:spacing w:after="60"/>
      </w:pPr>
      <w:r>
        <w:rPr>
          <w:rFonts w:ascii="Calibri" w:cs="Calibri" w:eastAsia="Calibri" w:hAnsi="Calibri"/>
          <w:b/>
          <w:bCs/>
          <w:color w:val="0E3A4F"/>
          <w:sz w:val="40"/>
          <w:szCs w:val="40"/>
        </w:rPr>
        <w:t xml:space="preserve">Small Cross-Functional Team</w:t>
      </w:r>
    </w:p>
    <w:p>
      <w:pPr>
        <w:pBdr>
          <w:bottom w:val="single" w:color="1B6B7C" w:sz="12" w:space="8"/>
        </w:pBdr>
        <w:spacing w:after="200"/>
      </w:pPr>
      <w:r>
        <w:rPr>
          <w:rFonts w:ascii="Calibri" w:cs="Calibri" w:eastAsia="Calibri" w:hAnsi="Calibri"/>
          <w:i/>
          <w:iCs/>
          <w:color w:val="5A6B73"/>
          <w:sz w:val="21"/>
          <w:szCs w:val="21"/>
        </w:rPr>
        <w:t xml:space="preserve">Six to eight named seats, genuinely released, deliberately mixed.</w:t>
      </w:r>
    </w:p>
    <w:p>
      <w:pPr>
        <w:pBdr>
          <w:bottom w:val="single" w:color="C9D6DC" w:sz="6" w:space="6"/>
        </w:pBdr>
        <w:spacing w:after="140" w:before="280"/>
      </w:pPr>
      <w:r>
        <w:rPr>
          <w:rFonts w:ascii="Calibri" w:cs="Calibri" w:eastAsia="Calibri" w:hAnsi="Calibri"/>
          <w:b/>
          <w:bCs/>
          <w:color w:val="1B6B7C"/>
          <w:spacing w:val="20"/>
          <w:sz w:val="20"/>
          <w:szCs w:val="20"/>
        </w:rPr>
        <w:t xml:space="preserve">PURPOSE</w:t>
      </w:r>
    </w:p>
    <w:p>
      <w:pPr>
        <w:spacing w:after="120" w:line="276"/>
      </w:pPr>
      <w:r>
        <w:rPr>
          <w:rFonts w:ascii="Calibri" w:cs="Calibri" w:eastAsia="Calibri" w:hAnsi="Calibri"/>
          <w:color w:val="1A1A1A"/>
          <w:sz w:val="21"/>
          <w:szCs w:val="21"/>
        </w:rPr>
        <w:t xml:space="preserve">To specify who sits in the studio, how much of their time it takes, how they are selected, and what protects them from being pulled back into business as usual. Team composition is the single largest predictor of whether a 90-day studio produces usable evidence.</w:t>
      </w:r>
    </w:p>
    <w:p>
      <w:pPr>
        <w:pBdr>
          <w:bottom w:val="single" w:color="C9D6DC" w:sz="6" w:space="6"/>
        </w:pBdr>
        <w:spacing w:after="140" w:before="280"/>
      </w:pPr>
      <w:r>
        <w:rPr>
          <w:rFonts w:ascii="Calibri" w:cs="Calibri" w:eastAsia="Calibri" w:hAnsi="Calibri"/>
          <w:b/>
          <w:bCs/>
          <w:color w:val="1B6B7C"/>
          <w:spacing w:val="20"/>
          <w:sz w:val="20"/>
          <w:szCs w:val="20"/>
        </w:rPr>
        <w:t xml:space="preserve">OWNER &amp; RACI</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182"/>
        <w:gridCol w:w="3744"/>
        <w:gridCol w:w="2434"/>
      </w:tblGrid>
      <w:tr>
        <w:trPr>
          <w:tblHeader/>
        </w:trPr>
        <w:tc>
          <w:tcPr>
            <w:tcW w:type="dxa" w:w="318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Role</w:t>
            </w:r>
          </w:p>
        </w:tc>
        <w:tc>
          <w:tcPr>
            <w:tcW w:type="dxa" w:w="374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Who (fill in at G0)</w:t>
            </w:r>
          </w:p>
        </w:tc>
        <w:tc>
          <w:tcPr>
            <w:tcW w:type="dxa" w:w="2434"/>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 / A / C / I</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Underwriting</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releases underwriting capacity</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Operations</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releases processing capacity</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 — selects and runs the team</w:t>
            </w:r>
          </w:p>
        </w:tc>
      </w:tr>
      <w:tr>
        <w:tc>
          <w:tcPr>
            <w:tcW w:type="dxa" w:w="318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HR</w:t>
            </w:r>
          </w:p>
        </w:tc>
        <w:tc>
          <w:tcPr>
            <w:tcW w:type="dxa" w:w="374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 — backfill, recognition, development framing</w:t>
            </w:r>
          </w:p>
        </w:tc>
      </w:tr>
      <w:tr>
        <w:tc>
          <w:tcPr>
            <w:tcW w:type="dxa" w:w="318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Executive Sponsor</w:t>
            </w:r>
          </w:p>
        </w:tc>
        <w:tc>
          <w:tcPr>
            <w:tcW w:type="dxa" w:w="374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2434"/>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 funds the relief and defends the release</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DECISIONS THIS DOCUMENT MAKES</w:t>
      </w:r>
    </w:p>
    <w:p>
      <w:pPr>
        <w:pStyle w:val="ListParagraph"/>
        <w:numPr>
          <w:ilvl w:val="0"/>
          <w:numId w:val="2"/>
        </w:numPr>
        <w:spacing w:after="80" w:line="276"/>
      </w:pPr>
      <w:r>
        <w:rPr>
          <w:rFonts w:ascii="Calibri" w:cs="Calibri" w:eastAsia="Calibri" w:hAnsi="Calibri"/>
          <w:b/>
          <w:bCs/>
          <w:color w:val="1A1A1A"/>
          <w:sz w:val="21"/>
          <w:szCs w:val="21"/>
        </w:rPr>
        <w:t xml:space="preserve">Six to eight people.</w:t>
      </w:r>
      <w:r>
        <w:rPr>
          <w:rFonts w:ascii="Calibri" w:cs="Calibri" w:eastAsia="Calibri" w:hAnsi="Calibri"/>
          <w:color w:val="1A1A1A"/>
          <w:sz w:val="21"/>
          <w:szCs w:val="21"/>
        </w:rPr>
        <w:t xml:space="preserve"> Below five the sample and the perspective are too thin; above ten the weekly loop stops functioning as a working session.</w:t>
      </w:r>
    </w:p>
    <w:p>
      <w:pPr>
        <w:pStyle w:val="ListParagraph"/>
        <w:numPr>
          <w:ilvl w:val="0"/>
          <w:numId w:val="2"/>
        </w:numPr>
        <w:spacing w:after="80" w:line="276"/>
      </w:pPr>
      <w:r>
        <w:rPr>
          <w:rFonts w:ascii="Calibri" w:cs="Calibri" w:eastAsia="Calibri" w:hAnsi="Calibri"/>
          <w:color w:val="1A1A1A"/>
          <w:sz w:val="21"/>
          <w:szCs w:val="21"/>
        </w:rPr>
        <w:t xml:space="preserve">Seats are </w:t>
      </w:r>
      <w:r>
        <w:rPr>
          <w:rFonts w:ascii="Calibri" w:cs="Calibri" w:eastAsia="Calibri" w:hAnsi="Calibri"/>
          <w:b/>
          <w:bCs/>
          <w:color w:val="1A1A1A"/>
          <w:sz w:val="21"/>
          <w:szCs w:val="21"/>
        </w:rPr>
        <w:t xml:space="preserve">named individuals with a named backfill</w:t>
      </w:r>
      <w:r>
        <w:rPr>
          <w:rFonts w:ascii="Calibri" w:cs="Calibri" w:eastAsia="Calibri" w:hAnsi="Calibri"/>
          <w:color w:val="1A1A1A"/>
          <w:sz w:val="21"/>
          <w:szCs w:val="21"/>
        </w:rPr>
        <w:t xml:space="preserve">, not roles filled by whoever is available that week. Rotating bodies through the studio destroys the learning curve.</w:t>
      </w:r>
    </w:p>
    <w:p>
      <w:pPr>
        <w:pStyle w:val="ListParagraph"/>
        <w:numPr>
          <w:ilvl w:val="0"/>
          <w:numId w:val="2"/>
        </w:numPr>
        <w:spacing w:after="80" w:line="276"/>
      </w:pPr>
      <w:r>
        <w:rPr>
          <w:rFonts w:ascii="Calibri" w:cs="Calibri" w:eastAsia="Calibri" w:hAnsi="Calibri"/>
          <w:color w:val="1A1A1A"/>
          <w:sz w:val="21"/>
          <w:szCs w:val="21"/>
        </w:rPr>
        <w:t xml:space="preserve">Underwriting and processing participants are released at a </w:t>
      </w:r>
      <w:r>
        <w:rPr>
          <w:rFonts w:ascii="Calibri" w:cs="Calibri" w:eastAsia="Calibri" w:hAnsi="Calibri"/>
          <w:b/>
          <w:bCs/>
          <w:color w:val="1A1A1A"/>
          <w:sz w:val="21"/>
          <w:szCs w:val="21"/>
        </w:rPr>
        <w:t xml:space="preserve">minimum of 50%</w:t>
      </w:r>
      <w:r>
        <w:rPr>
          <w:rFonts w:ascii="Calibri" w:cs="Calibri" w:eastAsia="Calibri" w:hAnsi="Calibri"/>
          <w:color w:val="1A1A1A"/>
          <w:sz w:val="21"/>
          <w:szCs w:val="21"/>
        </w:rPr>
        <w:t xml:space="preserve">, and the released time is backfilled or the pipeline is reduced. Relief that exists only on paper is the most common cause of studio failure.</w:t>
      </w:r>
    </w:p>
    <w:p>
      <w:pPr>
        <w:pStyle w:val="ListParagraph"/>
        <w:numPr>
          <w:ilvl w:val="0"/>
          <w:numId w:val="2"/>
        </w:numPr>
        <w:spacing w:after="80" w:line="276"/>
      </w:pPr>
      <w:r>
        <w:rPr>
          <w:rFonts w:ascii="Calibri" w:cs="Calibri" w:eastAsia="Calibri" w:hAnsi="Calibri"/>
          <w:color w:val="1A1A1A"/>
          <w:sz w:val="21"/>
          <w:szCs w:val="21"/>
        </w:rPr>
        <w:t xml:space="preserve">The team deliberately mixes </w:t>
      </w:r>
      <w:r>
        <w:rPr>
          <w:rFonts w:ascii="Calibri" w:cs="Calibri" w:eastAsia="Calibri" w:hAnsi="Calibri"/>
          <w:b/>
          <w:bCs/>
          <w:color w:val="1A1A1A"/>
          <w:sz w:val="21"/>
          <w:szCs w:val="21"/>
        </w:rPr>
        <w:t xml:space="preserve">experience levels</w:t>
      </w:r>
      <w:r>
        <w:rPr>
          <w:rFonts w:ascii="Calibri" w:cs="Calibri" w:eastAsia="Calibri" w:hAnsi="Calibri"/>
          <w:color w:val="1A1A1A"/>
          <w:sz w:val="21"/>
          <w:szCs w:val="21"/>
        </w:rPr>
        <w:t xml:space="preserve"> — a highly experienced sceptic is more valuable than three enthusiasts, and results drawn only from top performers do not generalise.</w:t>
      </w:r>
    </w:p>
    <w:p>
      <w:pPr>
        <w:pStyle w:val="ListParagraph"/>
        <w:numPr>
          <w:ilvl w:val="0"/>
          <w:numId w:val="2"/>
        </w:numPr>
        <w:spacing w:after="80" w:line="276"/>
      </w:pPr>
      <w:r>
        <w:rPr>
          <w:rFonts w:ascii="Calibri" w:cs="Calibri" w:eastAsia="Calibri" w:hAnsi="Calibri"/>
          <w:color w:val="1A1A1A"/>
          <w:sz w:val="21"/>
          <w:szCs w:val="21"/>
        </w:rPr>
        <w:t xml:space="preserve">The Studio Lead is </w:t>
      </w:r>
      <w:r>
        <w:rPr>
          <w:rFonts w:ascii="Calibri" w:cs="Calibri" w:eastAsia="Calibri" w:hAnsi="Calibri"/>
          <w:b/>
          <w:bCs/>
          <w:color w:val="1A1A1A"/>
          <w:sz w:val="21"/>
          <w:szCs w:val="21"/>
        </w:rPr>
        <w:t xml:space="preserve">full time</w:t>
      </w:r>
      <w:r>
        <w:rPr>
          <w:rFonts w:ascii="Calibri" w:cs="Calibri" w:eastAsia="Calibri" w:hAnsi="Calibri"/>
          <w:color w:val="1A1A1A"/>
          <w:sz w:val="21"/>
          <w:szCs w:val="21"/>
        </w:rPr>
        <w:t xml:space="preserve">. This is not a role that can be run at 20% alongside another job.</w:t>
      </w:r>
    </w:p>
    <w:p>
      <w:pPr>
        <w:pBdr>
          <w:bottom w:val="single" w:color="C9D6DC" w:sz="6" w:space="6"/>
        </w:pBdr>
        <w:spacing w:after="140" w:before="280"/>
      </w:pPr>
      <w:r>
        <w:rPr>
          <w:rFonts w:ascii="Calibri" w:cs="Calibri" w:eastAsia="Calibri" w:hAnsi="Calibri"/>
          <w:b/>
          <w:bCs/>
          <w:color w:val="1B6B7C"/>
          <w:spacing w:val="20"/>
          <w:sz w:val="20"/>
          <w:szCs w:val="20"/>
        </w:rPr>
        <w:t xml:space="preserve">THE FRAMEWORK</w:t>
      </w:r>
    </w:p>
    <w:p>
      <w:pPr>
        <w:spacing w:after="80" w:before="200"/>
      </w:pPr>
      <w:r>
        <w:rPr>
          <w:rFonts w:ascii="Calibri" w:cs="Calibri" w:eastAsia="Calibri" w:hAnsi="Calibri"/>
          <w:b/>
          <w:bCs/>
          <w:color w:val="0E3A4F"/>
          <w:sz w:val="22"/>
          <w:szCs w:val="22"/>
        </w:rPr>
        <w:t xml:space="preserve">The seats</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059"/>
        <w:gridCol w:w="936"/>
        <w:gridCol w:w="3369"/>
        <w:gridCol w:w="2996"/>
      </w:tblGrid>
      <w:tr>
        <w:trPr>
          <w:tblHeader/>
        </w:trPr>
        <w:tc>
          <w:tcPr>
            <w:tcW w:type="dxa" w:w="205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Seat</w:t>
            </w:r>
          </w:p>
        </w:tc>
        <w:tc>
          <w:tcPr>
            <w:tcW w:type="dxa" w:w="936"/>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Time</w:t>
            </w:r>
          </w:p>
        </w:tc>
        <w:tc>
          <w:tcPr>
            <w:tcW w:type="dxa" w:w="336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Why they are essential</w:t>
            </w:r>
          </w:p>
        </w:tc>
        <w:tc>
          <w:tcPr>
            <w:tcW w:type="dxa" w:w="2996"/>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Selection note</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Design Studio Lead</w:t>
            </w:r>
          </w:p>
        </w:tc>
        <w:tc>
          <w:tcPr>
            <w:tcW w:type="dxa" w:w="93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100%</w:t>
            </w:r>
          </w:p>
        </w:tc>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Runs the program, owns the backlog, protects the method</w:t>
            </w:r>
          </w:p>
        </w:tc>
        <w:tc>
          <w:tcPr>
            <w:tcW w:type="dxa" w:w="299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Credible with underwriters and with executives; this pairing is rare and worth searching for</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Senior underwriter</w:t>
            </w:r>
          </w:p>
        </w:tc>
        <w:tc>
          <w:tcPr>
            <w:tcW w:type="dxa" w:w="93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50–75%</w:t>
            </w:r>
          </w:p>
        </w:tc>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The quality ground truth; judges what Jazz got right</w:t>
            </w:r>
          </w:p>
        </w:tc>
        <w:tc>
          <w:tcPr>
            <w:tcW w:type="dxa" w:w="299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Pick a respected sceptic, not an enthusiast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Second underwriter</w:t>
            </w:r>
          </w:p>
        </w:tc>
        <w:tc>
          <w:tcPr>
            <w:tcW w:type="dxa" w:w="93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50%</w:t>
            </w:r>
          </w:p>
        </w:tc>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Sample size and a second opinion on disagreements</w:t>
            </w:r>
          </w:p>
        </w:tc>
        <w:tc>
          <w:tcPr>
            <w:tcW w:type="dxa" w:w="299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Different experience level from the first</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Senior processor</w:t>
            </w:r>
          </w:p>
        </w:tc>
        <w:tc>
          <w:tcPr>
            <w:tcW w:type="dxa" w:w="93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50%</w:t>
            </w:r>
          </w:p>
        </w:tc>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Owns the document and condition reality</w:t>
            </w:r>
          </w:p>
        </w:tc>
        <w:tc>
          <w:tcPr>
            <w:tcW w:type="dxa" w:w="299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Deep familiarity with where documents actually go wrong</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Data / BI analyst</w:t>
            </w:r>
          </w:p>
        </w:tc>
        <w:tc>
          <w:tcPr>
            <w:tcW w:type="dxa" w:w="93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50%</w:t>
            </w:r>
          </w:p>
        </w:tc>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Builds the baseline and the measurement</w:t>
            </w:r>
          </w:p>
        </w:tc>
        <w:tc>
          <w:tcPr>
            <w:tcW w:type="dxa" w:w="299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Must be able to defend numbers to Finance</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IT / integration engineer</w:t>
            </w:r>
          </w:p>
        </w:tc>
        <w:tc>
          <w:tcPr>
            <w:tcW w:type="dxa" w:w="93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25–50%</w:t>
            </w:r>
          </w:p>
        </w:tc>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LOS extraction, cohort tagging, data flow</w:t>
            </w:r>
          </w:p>
        </w:tc>
        <w:tc>
          <w:tcPr>
            <w:tcW w:type="dxa" w:w="299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Named access to the LOS, not a ticket queue</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Compliance liaison</w:t>
            </w:r>
          </w:p>
        </w:tc>
        <w:tc>
          <w:tcPr>
            <w:tcW w:type="dxa" w:w="93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10–20%</w:t>
            </w:r>
          </w:p>
        </w:tc>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Keeps control functions ahead of the work rather than behind it</w:t>
            </w:r>
          </w:p>
        </w:tc>
        <w:tc>
          <w:tcPr>
            <w:tcW w:type="dxa" w:w="2996"/>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Attends the weekly loop, not just gates</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JazzX engagement lead</w:t>
            </w:r>
          </w:p>
        </w:tc>
        <w:tc>
          <w:tcPr>
            <w:tcW w:type="dxa" w:w="93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Per SOW</w:t>
            </w:r>
          </w:p>
        </w:tc>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Tuning, enablement, escalation into the vendor</w:t>
            </w:r>
          </w:p>
        </w:tc>
        <w:tc>
          <w:tcPr>
            <w:tcW w:type="dxa" w:w="2996"/>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Named individual, weekly presence contracted</w:t>
            </w:r>
          </w:p>
        </w:tc>
      </w:tr>
    </w:tbl>
    <w:p>
      <w:pPr>
        <w:spacing w:after="160"/>
      </w:pPr>
    </w:p>
    <w:p>
      <w:pPr>
        <w:spacing w:after="80" w:before="200"/>
      </w:pPr>
      <w:r>
        <w:rPr>
          <w:rFonts w:ascii="Calibri" w:cs="Calibri" w:eastAsia="Calibri" w:hAnsi="Calibri"/>
          <w:b/>
          <w:bCs/>
          <w:color w:val="0E3A4F"/>
          <w:sz w:val="22"/>
          <w:szCs w:val="22"/>
        </w:rPr>
        <w:t xml:space="preserve">Selecting participants</w:t>
      </w:r>
    </w:p>
    <w:p>
      <w:pPr>
        <w:pStyle w:val="ListParagraph"/>
        <w:numPr>
          <w:ilvl w:val="0"/>
          <w:numId w:val="3"/>
        </w:numPr>
        <w:spacing w:after="80" w:line="276"/>
      </w:pPr>
      <w:r>
        <w:rPr>
          <w:rFonts w:ascii="Calibri" w:cs="Calibri" w:eastAsia="Calibri" w:hAnsi="Calibri"/>
          <w:color w:val="1A1A1A"/>
          <w:sz w:val="21"/>
          <w:szCs w:val="21"/>
        </w:rPr>
        <w:t xml:space="preserve">Choose the </w:t>
      </w:r>
      <w:r>
        <w:rPr>
          <w:rFonts w:ascii="Calibri" w:cs="Calibri" w:eastAsia="Calibri" w:hAnsi="Calibri"/>
          <w:b/>
          <w:bCs/>
          <w:color w:val="1A1A1A"/>
          <w:sz w:val="21"/>
          <w:szCs w:val="21"/>
        </w:rPr>
        <w:t xml:space="preserve">respected sceptic</w:t>
      </w:r>
      <w:r>
        <w:rPr>
          <w:rFonts w:ascii="Calibri" w:cs="Calibri" w:eastAsia="Calibri" w:hAnsi="Calibri"/>
          <w:color w:val="1A1A1A"/>
          <w:sz w:val="21"/>
          <w:szCs w:val="21"/>
        </w:rPr>
        <w:t xml:space="preserve"> over the volunteer enthusiast. If they conclude Jazz helps, the organisation believes it; the enthusiast's endorsement converts nobody.</w:t>
      </w:r>
    </w:p>
    <w:p>
      <w:pPr>
        <w:pStyle w:val="ListParagraph"/>
        <w:numPr>
          <w:ilvl w:val="0"/>
          <w:numId w:val="3"/>
        </w:numPr>
        <w:spacing w:after="80" w:line="276"/>
      </w:pPr>
      <w:r>
        <w:rPr>
          <w:rFonts w:ascii="Calibri" w:cs="Calibri" w:eastAsia="Calibri" w:hAnsi="Calibri"/>
          <w:color w:val="1A1A1A"/>
          <w:sz w:val="21"/>
          <w:szCs w:val="21"/>
        </w:rPr>
        <w:t xml:space="preserve">Mix tenure deliberately — a 15-year underwriter and a 2-year underwriter find completely different failure modes</w:t>
      </w:r>
    </w:p>
    <w:p>
      <w:pPr>
        <w:pStyle w:val="ListParagraph"/>
        <w:numPr>
          <w:ilvl w:val="0"/>
          <w:numId w:val="3"/>
        </w:numPr>
        <w:spacing w:after="80" w:line="276"/>
      </w:pPr>
      <w:r>
        <w:rPr>
          <w:rFonts w:ascii="Calibri" w:cs="Calibri" w:eastAsia="Calibri" w:hAnsi="Calibri"/>
          <w:color w:val="1A1A1A"/>
          <w:sz w:val="21"/>
          <w:szCs w:val="21"/>
        </w:rPr>
        <w:t xml:space="preserve">Avoid selecting only top performers; the business case rests on the average underwriter, not the best one</w:t>
      </w:r>
    </w:p>
    <w:p>
      <w:pPr>
        <w:pStyle w:val="ListParagraph"/>
        <w:numPr>
          <w:ilvl w:val="0"/>
          <w:numId w:val="3"/>
        </w:numPr>
        <w:spacing w:after="80" w:line="276"/>
      </w:pPr>
      <w:r>
        <w:rPr>
          <w:rFonts w:ascii="Calibri" w:cs="Calibri" w:eastAsia="Calibri" w:hAnsi="Calibri"/>
          <w:color w:val="1A1A1A"/>
          <w:sz w:val="21"/>
          <w:szCs w:val="21"/>
        </w:rPr>
        <w:t xml:space="preserve">Exclude anyone whose role is genuinely at risk from the outcome — it is unfair to them and it corrupts the data</w:t>
      </w:r>
    </w:p>
    <w:p>
      <w:pPr>
        <w:pStyle w:val="ListParagraph"/>
        <w:numPr>
          <w:ilvl w:val="0"/>
          <w:numId w:val="3"/>
        </w:numPr>
        <w:spacing w:after="80" w:line="276"/>
      </w:pPr>
      <w:r>
        <w:rPr>
          <w:rFonts w:ascii="Calibri" w:cs="Calibri" w:eastAsia="Calibri" w:hAnsi="Calibri"/>
          <w:color w:val="1A1A1A"/>
          <w:sz w:val="21"/>
          <w:szCs w:val="21"/>
        </w:rPr>
        <w:t xml:space="preserve">Confirm each participant can commit for the full 90 days; mid-studio turnover costs more than a weaker initial pick</w:t>
      </w:r>
    </w:p>
    <w:p>
      <w:pPr>
        <w:pStyle w:val="ListParagraph"/>
        <w:numPr>
          <w:ilvl w:val="0"/>
          <w:numId w:val="3"/>
        </w:numPr>
        <w:spacing w:after="80" w:line="276"/>
      </w:pPr>
      <w:r>
        <w:rPr>
          <w:rFonts w:ascii="Calibri" w:cs="Calibri" w:eastAsia="Calibri" w:hAnsi="Calibri"/>
          <w:color w:val="1A1A1A"/>
          <w:sz w:val="21"/>
          <w:szCs w:val="21"/>
        </w:rPr>
        <w:t xml:space="preserve">Have the selection conversation individually, and be explicit about what is in it for them</w:t>
      </w:r>
    </w:p>
    <w:p>
      <w:pPr>
        <w:spacing w:after="80" w:before="200"/>
      </w:pPr>
      <w:r>
        <w:rPr>
          <w:rFonts w:ascii="Calibri" w:cs="Calibri" w:eastAsia="Calibri" w:hAnsi="Calibri"/>
          <w:b/>
          <w:bCs/>
          <w:color w:val="0E3A4F"/>
          <w:sz w:val="22"/>
          <w:szCs w:val="22"/>
        </w:rPr>
        <w:t xml:space="preserve">Protecting the release</w:t>
      </w:r>
    </w:p>
    <w:p>
      <w:pPr>
        <w:spacing w:after="120" w:line="276"/>
      </w:pPr>
      <w:r>
        <w:rPr>
          <w:rFonts w:ascii="Calibri" w:cs="Calibri" w:eastAsia="Calibri" w:hAnsi="Calibri"/>
          <w:color w:val="1A1A1A"/>
          <w:sz w:val="21"/>
          <w:szCs w:val="21"/>
        </w:rPr>
        <w:t xml:space="preserve">Every studio loses time to BAU reabsorption. The countermeasures below are unglamorous and they work.</w:t>
      </w:r>
    </w:p>
    <w:p>
      <w:pPr>
        <w:pStyle w:val="ListParagraph"/>
        <w:numPr>
          <w:ilvl w:val="0"/>
          <w:numId w:val="3"/>
        </w:numPr>
        <w:spacing w:after="80" w:line="276"/>
      </w:pPr>
      <w:r>
        <w:rPr>
          <w:rFonts w:ascii="Calibri" w:cs="Calibri" w:eastAsia="Calibri" w:hAnsi="Calibri"/>
          <w:color w:val="1A1A1A"/>
          <w:sz w:val="21"/>
          <w:szCs w:val="21"/>
        </w:rPr>
        <w:t xml:space="preserve">Capacity relief is written into the participant's objectives, not agreed verbally with a supervisor</w:t>
      </w:r>
    </w:p>
    <w:p>
      <w:pPr>
        <w:pStyle w:val="ListParagraph"/>
        <w:numPr>
          <w:ilvl w:val="0"/>
          <w:numId w:val="3"/>
        </w:numPr>
        <w:spacing w:after="80" w:line="276"/>
      </w:pPr>
      <w:r>
        <w:rPr>
          <w:rFonts w:ascii="Calibri" w:cs="Calibri" w:eastAsia="Calibri" w:hAnsi="Calibri"/>
          <w:color w:val="1A1A1A"/>
          <w:sz w:val="21"/>
          <w:szCs w:val="21"/>
        </w:rPr>
        <w:t xml:space="preserve">Pipeline reduction is implemented in assignment rules, so files simply do not route to them</w:t>
      </w:r>
    </w:p>
    <w:p>
      <w:pPr>
        <w:pStyle w:val="ListParagraph"/>
        <w:numPr>
          <w:ilvl w:val="0"/>
          <w:numId w:val="3"/>
        </w:numPr>
        <w:spacing w:after="80" w:line="276"/>
      </w:pPr>
      <w:r>
        <w:rPr>
          <w:rFonts w:ascii="Calibri" w:cs="Calibri" w:eastAsia="Calibri" w:hAnsi="Calibri"/>
          <w:color w:val="1A1A1A"/>
          <w:sz w:val="21"/>
          <w:szCs w:val="21"/>
        </w:rPr>
        <w:t xml:space="preserve">The Sponsor re-confirms the release at every gate, on the record</w:t>
      </w:r>
    </w:p>
    <w:p>
      <w:pPr>
        <w:pStyle w:val="ListParagraph"/>
        <w:numPr>
          <w:ilvl w:val="0"/>
          <w:numId w:val="3"/>
        </w:numPr>
        <w:spacing w:after="80" w:line="276"/>
      </w:pPr>
      <w:r>
        <w:rPr>
          <w:rFonts w:ascii="Calibri" w:cs="Calibri" w:eastAsia="Calibri" w:hAnsi="Calibri"/>
          <w:color w:val="1A1A1A"/>
          <w:sz w:val="21"/>
          <w:szCs w:val="21"/>
        </w:rPr>
        <w:t xml:space="preserve">Comparison completion rate is monitored weekly as the leading indicator of relief eroding</w:t>
      </w:r>
    </w:p>
    <w:p>
      <w:pPr>
        <w:pStyle w:val="ListParagraph"/>
        <w:numPr>
          <w:ilvl w:val="0"/>
          <w:numId w:val="3"/>
        </w:numPr>
        <w:spacing w:after="80" w:line="276"/>
      </w:pPr>
      <w:r>
        <w:rPr>
          <w:rFonts w:ascii="Calibri" w:cs="Calibri" w:eastAsia="Calibri" w:hAnsi="Calibri"/>
          <w:color w:val="1A1A1A"/>
          <w:sz w:val="21"/>
          <w:szCs w:val="21"/>
        </w:rPr>
        <w:t xml:space="preserve">Any pull-back of a participant requires the Sponsor, not the participant's line manager</w:t>
      </w:r>
    </w:p>
    <w:p>
      <w:pPr>
        <w:pBdr>
          <w:bottom w:val="single" w:color="C9D6DC" w:sz="6" w:space="6"/>
        </w:pBdr>
        <w:spacing w:after="140" w:before="280"/>
      </w:pPr>
      <w:r>
        <w:rPr>
          <w:rFonts w:ascii="Calibri" w:cs="Calibri" w:eastAsia="Calibri" w:hAnsi="Calibri"/>
          <w:b/>
          <w:bCs/>
          <w:color w:val="1B6B7C"/>
          <w:spacing w:val="20"/>
          <w:sz w:val="20"/>
          <w:szCs w:val="20"/>
        </w:rPr>
        <w:t xml:space="preserve">ARTIFACTS &amp; TEMPLATES</w:t>
      </w:r>
    </w:p>
    <w:p>
      <w:pPr>
        <w:spacing w:after="80" w:before="200"/>
      </w:pPr>
      <w:r>
        <w:rPr>
          <w:rFonts w:ascii="Calibri" w:cs="Calibri" w:eastAsia="Calibri" w:hAnsi="Calibri"/>
          <w:b/>
          <w:bCs/>
          <w:color w:val="0E3A4F"/>
          <w:sz w:val="22"/>
          <w:szCs w:val="22"/>
        </w:rPr>
        <w:t xml:space="preserve">Team roster — complete before G0</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433"/>
        <w:gridCol w:w="1872"/>
        <w:gridCol w:w="1310"/>
        <w:gridCol w:w="1872"/>
        <w:gridCol w:w="1873"/>
      </w:tblGrid>
      <w:tr>
        <w:trPr>
          <w:tblHeader/>
        </w:trPr>
        <w:tc>
          <w:tcPr>
            <w:tcW w:type="dxa" w:w="2433"/>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Seat</w:t>
            </w:r>
          </w:p>
        </w:tc>
        <w:tc>
          <w:tcPr>
            <w:tcW w:type="dxa" w:w="187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Name</w:t>
            </w:r>
          </w:p>
        </w:tc>
        <w:tc>
          <w:tcPr>
            <w:tcW w:type="dxa" w:w="131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Release %</w:t>
            </w:r>
          </w:p>
        </w:tc>
        <w:tc>
          <w:tcPr>
            <w:tcW w:type="dxa" w:w="187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Backfill</w:t>
            </w:r>
          </w:p>
        </w:tc>
        <w:tc>
          <w:tcPr>
            <w:tcW w:type="dxa" w:w="1873"/>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Confirmed by</w:t>
            </w:r>
          </w:p>
        </w:tc>
      </w:tr>
      <w:tr>
        <w:tc>
          <w:tcPr>
            <w:tcW w:type="dxa" w:w="243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Design Studio Lead</w:t>
            </w:r>
          </w:p>
        </w:tc>
        <w:tc>
          <w:tcPr>
            <w:tcW w:type="dxa" w:w="187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100%</w:t>
            </w:r>
          </w:p>
        </w:tc>
        <w:tc>
          <w:tcPr>
            <w:tcW w:type="dxa" w:w="187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87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43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Senior underwriter</w:t>
            </w:r>
          </w:p>
        </w:tc>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87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43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Second underwriter</w:t>
            </w:r>
          </w:p>
        </w:tc>
        <w:tc>
          <w:tcPr>
            <w:tcW w:type="dxa" w:w="187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87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87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43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Senior processor</w:t>
            </w:r>
          </w:p>
        </w:tc>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87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43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Data / BI analyst</w:t>
            </w:r>
          </w:p>
        </w:tc>
        <w:tc>
          <w:tcPr>
            <w:tcW w:type="dxa" w:w="187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87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87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43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IT / integration</w:t>
            </w:r>
          </w:p>
        </w:tc>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87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43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Compliance liaison</w:t>
            </w:r>
          </w:p>
        </w:tc>
        <w:tc>
          <w:tcPr>
            <w:tcW w:type="dxa" w:w="187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87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873"/>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r>
        <w:tc>
          <w:tcPr>
            <w:tcW w:type="dxa" w:w="243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JazzX engagement lead</w:t>
            </w:r>
          </w:p>
        </w:tc>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c>
          <w:tcPr>
            <w:tcW w:type="dxa" w:w="131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Per SOW</w:t>
            </w:r>
          </w:p>
        </w:tc>
        <w:tc>
          <w:tcPr>
            <w:tcW w:type="dxa" w:w="187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n/a</w:t>
            </w:r>
          </w:p>
        </w:tc>
        <w:tc>
          <w:tcPr>
            <w:tcW w:type="dxa" w:w="1873"/>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
            </w:r>
          </w:p>
        </w:tc>
      </w:tr>
    </w:tbl>
    <w:p>
      <w:pPr>
        <w:spacing w:after="160"/>
      </w:pPr>
    </w:p>
    <w:p>
      <w:pPr>
        <w:spacing w:after="80" w:before="200"/>
      </w:pPr>
      <w:r>
        <w:rPr>
          <w:rFonts w:ascii="Calibri" w:cs="Calibri" w:eastAsia="Calibri" w:hAnsi="Calibri"/>
          <w:b/>
          <w:bCs/>
          <w:color w:val="0E3A4F"/>
          <w:sz w:val="22"/>
          <w:szCs w:val="22"/>
        </w:rPr>
        <w:t xml:space="preserve">What each participant gets — agreed at selection</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3369"/>
        <w:gridCol w:w="5991"/>
      </w:tblGrid>
      <w:tr>
        <w:trPr>
          <w:tblHeader/>
        </w:trPr>
        <w:tc>
          <w:tcPr>
            <w:tcW w:type="dxa" w:w="336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Commitment to them</w:t>
            </w:r>
          </w:p>
        </w:tc>
        <w:tc>
          <w:tcPr>
            <w:tcW w:type="dxa" w:w="5991"/>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Detail</w:t>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Capacity relief</w:t>
            </w:r>
          </w:p>
        </w:tc>
        <w:tc>
          <w:tcPr>
            <w:tcW w:type="dxa" w:w="599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Stated percentage, implemented in assignment rules</w:t>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Metrics held harmless</w:t>
            </w:r>
          </w:p>
        </w:tc>
        <w:tc>
          <w:tcPr>
            <w:tcW w:type="dxa" w:w="599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Production metrics not affected by studio participation</w:t>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Development benefit</w:t>
            </w:r>
          </w:p>
        </w:tc>
        <w:tc>
          <w:tcPr>
            <w:tcW w:type="dxa" w:w="599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Named skill or exposure they gain — Builder Studio access, AI tooling literacy</w:t>
            </w:r>
          </w:p>
        </w:tc>
      </w:tr>
      <w:tr>
        <w:tc>
          <w:tcPr>
            <w:tcW w:type="dxa" w:w="336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Visibility</w:t>
            </w:r>
          </w:p>
        </w:tc>
        <w:tc>
          <w:tcPr>
            <w:tcW w:type="dxa" w:w="5991"/>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They present findings at G4 alongside the Studio Lead</w:t>
            </w:r>
          </w:p>
        </w:tc>
      </w:tr>
      <w:tr>
        <w:tc>
          <w:tcPr>
            <w:tcW w:type="dxa" w:w="336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Named next step</w:t>
            </w:r>
          </w:p>
        </w:tc>
        <w:tc>
          <w:tcPr>
            <w:tcW w:type="dxa" w:w="5991"/>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What happens to their role at Day 91, whatever the outcome</w:t>
            </w:r>
          </w:p>
        </w:tc>
      </w:tr>
    </w:tbl>
    <w:p>
      <w:pPr>
        <w:spacing w:after="160"/>
      </w:pPr>
    </w:p>
    <w:p>
      <w:pPr>
        <w:pBdr>
          <w:bottom w:val="single" w:color="C9D6DC" w:sz="6" w:space="6"/>
        </w:pBdr>
        <w:spacing w:after="140" w:before="280"/>
      </w:pPr>
      <w:r>
        <w:rPr>
          <w:rFonts w:ascii="Calibri" w:cs="Calibri" w:eastAsia="Calibri" w:hAnsi="Calibri"/>
          <w:b/>
          <w:bCs/>
          <w:color w:val="1B6B7C"/>
          <w:spacing w:val="20"/>
          <w:sz w:val="20"/>
          <w:szCs w:val="20"/>
        </w:rPr>
        <w:t xml:space="preserve">CADENCE</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059"/>
        <w:gridCol w:w="4492"/>
        <w:gridCol w:w="2809"/>
      </w:tblGrid>
      <w:tr>
        <w:trPr>
          <w:tblHeader/>
        </w:trPr>
        <w:tc>
          <w:tcPr>
            <w:tcW w:type="dxa" w:w="205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When</w:t>
            </w:r>
          </w:p>
        </w:tc>
        <w:tc>
          <w:tcPr>
            <w:tcW w:type="dxa" w:w="449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What happens</w:t>
            </w:r>
          </w:p>
        </w:tc>
        <w:tc>
          <w:tcPr>
            <w:tcW w:type="dxa" w:w="2809"/>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Output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Pre-Day 1</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Individual selection conversations</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Signed participation agreement</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Weekly</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Participation health check — is the relief real?</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Completion rate, sentiment</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Biweekly</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One-to-one between Studio Lead and each participant</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Individual issues surfaced</w:t>
            </w:r>
          </w:p>
        </w:tc>
      </w:tr>
      <w:tr>
        <w:tc>
          <w:tcPr>
            <w:tcW w:type="dxa" w:w="2059"/>
            <w:shd w:fill="F2F6F8" w:color="auto" w:val="clear"/>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At each gate</w:t>
            </w:r>
          </w:p>
        </w:tc>
        <w:tc>
          <w:tcPr>
            <w:tcW w:type="dxa" w:w="449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Sponsor re-confirms release</w:t>
            </w:r>
          </w:p>
        </w:tc>
        <w:tc>
          <w:tcPr>
            <w:tcW w:type="dxa" w:w="2809"/>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On-the-record confirmation</w:t>
            </w:r>
          </w:p>
        </w:tc>
      </w:tr>
      <w:tr>
        <w:tc>
          <w:tcPr>
            <w:tcW w:type="dxa" w:w="2059"/>
            <w:tcMar>
              <w:top w:type="dxa" w:w="80"/>
              <w:left w:type="dxa" w:w="110"/>
              <w:bottom w:type="dxa" w:w="80"/>
              <w:right w:type="dxa" w:w="110"/>
            </w:tcMar>
          </w:tcPr>
          <w:p>
            <w:pPr>
              <w:spacing w:after="0" w:line="260"/>
            </w:pPr>
            <w:r>
              <w:rPr>
                <w:rFonts w:ascii="Calibri" w:cs="Calibri" w:eastAsia="Calibri" w:hAnsi="Calibri"/>
                <w:b/>
                <w:bCs/>
                <w:color w:val="1A1A1A"/>
                <w:sz w:val="21"/>
                <w:szCs w:val="21"/>
              </w:rPr>
              <w:t xml:space="preserve">At G4</w:t>
            </w:r>
          </w:p>
        </w:tc>
        <w:tc>
          <w:tcPr>
            <w:tcW w:type="dxa" w:w="449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Exit interview and next-step confirmation</w:t>
            </w:r>
          </w:p>
        </w:tc>
        <w:tc>
          <w:tcPr>
            <w:tcW w:type="dxa" w:w="2809"/>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Qualitative findings, individual outcomes</w:t>
            </w:r>
          </w:p>
        </w:tc>
      </w:tr>
    </w:tbl>
    <w:p>
      <w:pPr>
        <w:spacing w:after="120"/>
      </w:pPr>
    </w:p>
    <w:p>
      <w:pPr>
        <w:pBdr>
          <w:bottom w:val="single" w:color="C9D6DC" w:sz="6" w:space="6"/>
        </w:pBdr>
        <w:spacing w:after="140" w:before="280"/>
      </w:pPr>
      <w:r>
        <w:rPr>
          <w:rFonts w:ascii="Calibri" w:cs="Calibri" w:eastAsia="Calibri" w:hAnsi="Calibri"/>
          <w:b/>
          <w:bCs/>
          <w:color w:val="1B6B7C"/>
          <w:spacing w:val="20"/>
          <w:sz w:val="20"/>
          <w:szCs w:val="20"/>
        </w:rPr>
        <w:t xml:space="preserve">DEFINITION OF DONE</w:t>
      </w:r>
    </w:p>
    <w:p>
      <w:pPr>
        <w:pStyle w:val="ListParagraph"/>
        <w:numPr>
          <w:ilvl w:val="0"/>
          <w:numId w:val="3"/>
        </w:numPr>
        <w:spacing w:after="80" w:line="276"/>
      </w:pPr>
      <w:r>
        <w:rPr>
          <w:rFonts w:ascii="Calibri" w:cs="Calibri" w:eastAsia="Calibri" w:hAnsi="Calibri"/>
          <w:color w:val="1A1A1A"/>
          <w:sz w:val="21"/>
          <w:szCs w:val="21"/>
        </w:rPr>
        <w:t xml:space="preserve">All seats filled by named individuals before Day 1</w:t>
      </w:r>
    </w:p>
    <w:p>
      <w:pPr>
        <w:pStyle w:val="ListParagraph"/>
        <w:numPr>
          <w:ilvl w:val="0"/>
          <w:numId w:val="3"/>
        </w:numPr>
        <w:spacing w:after="80" w:line="276"/>
      </w:pPr>
      <w:r>
        <w:rPr>
          <w:rFonts w:ascii="Calibri" w:cs="Calibri" w:eastAsia="Calibri" w:hAnsi="Calibri"/>
          <w:color w:val="1A1A1A"/>
          <w:sz w:val="21"/>
          <w:szCs w:val="21"/>
        </w:rPr>
        <w:t xml:space="preserve">Release percentages implemented in assignment rules, not just agreed</w:t>
      </w:r>
    </w:p>
    <w:p>
      <w:pPr>
        <w:pStyle w:val="ListParagraph"/>
        <w:numPr>
          <w:ilvl w:val="0"/>
          <w:numId w:val="3"/>
        </w:numPr>
        <w:spacing w:after="80" w:line="276"/>
      </w:pPr>
      <w:r>
        <w:rPr>
          <w:rFonts w:ascii="Calibri" w:cs="Calibri" w:eastAsia="Calibri" w:hAnsi="Calibri"/>
          <w:color w:val="1A1A1A"/>
          <w:sz w:val="21"/>
          <w:szCs w:val="21"/>
        </w:rPr>
        <w:t xml:space="preserve">No participant rotated out mid-studio without a Sponsor decision</w:t>
      </w:r>
    </w:p>
    <w:p>
      <w:pPr>
        <w:pStyle w:val="ListParagraph"/>
        <w:numPr>
          <w:ilvl w:val="0"/>
          <w:numId w:val="3"/>
        </w:numPr>
        <w:spacing w:after="80" w:line="276"/>
      </w:pPr>
      <w:r>
        <w:rPr>
          <w:rFonts w:ascii="Calibri" w:cs="Calibri" w:eastAsia="Calibri" w:hAnsi="Calibri"/>
          <w:color w:val="1A1A1A"/>
          <w:sz w:val="21"/>
          <w:szCs w:val="21"/>
        </w:rPr>
        <w:t xml:space="preserve">Every participant has a named Day 91 next step before Day 90</w:t>
      </w:r>
    </w:p>
    <w:p>
      <w:pPr>
        <w:pStyle w:val="ListParagraph"/>
        <w:numPr>
          <w:ilvl w:val="0"/>
          <w:numId w:val="3"/>
        </w:numPr>
        <w:spacing w:after="80" w:line="276"/>
      </w:pPr>
      <w:r>
        <w:rPr>
          <w:rFonts w:ascii="Calibri" w:cs="Calibri" w:eastAsia="Calibri" w:hAnsi="Calibri"/>
          <w:color w:val="1A1A1A"/>
          <w:sz w:val="21"/>
          <w:szCs w:val="21"/>
        </w:rPr>
        <w:t xml:space="preserve">Team composition and its limitations documented in the evidence pack</w:t>
      </w:r>
    </w:p>
    <w:p>
      <w:pPr>
        <w:pBdr>
          <w:bottom w:val="single" w:color="C9D6DC" w:sz="6" w:space="6"/>
        </w:pBdr>
        <w:spacing w:after="140" w:before="280"/>
      </w:pPr>
      <w:r>
        <w:rPr>
          <w:rFonts w:ascii="Calibri" w:cs="Calibri" w:eastAsia="Calibri" w:hAnsi="Calibri"/>
          <w:b/>
          <w:bCs/>
          <w:color w:val="1B6B7C"/>
          <w:spacing w:val="20"/>
          <w:sz w:val="20"/>
          <w:szCs w:val="20"/>
        </w:rPr>
        <w:t xml:space="preserve">RISKS &amp; ESCALATION</w:t>
      </w:r>
    </w:p>
    <w:tbl>
      <w:tblPr>
        <w:tblW w:type="dxa" w:w="9360"/>
        <w:tblBorders>
          <w:top w:val="single" w:color="C9D6DC" w:sz="2"/>
          <w:left w:val="single" w:color="C9D6DC" w:sz="2"/>
          <w:bottom w:val="single" w:color="C9D6DC" w:sz="2"/>
          <w:right w:val="single" w:color="C9D6DC" w:sz="2"/>
          <w:insideH w:val="single" w:color="C9D6DC" w:sz="2"/>
          <w:insideV w:val="single" w:color="C9D6DC" w:sz="2"/>
        </w:tblBorders>
      </w:tblPr>
      <w:tblGrid>
        <w:gridCol w:w="2808"/>
        <w:gridCol w:w="4212"/>
        <w:gridCol w:w="2340"/>
      </w:tblGrid>
      <w:tr>
        <w:trPr>
          <w:tblHeader/>
        </w:trPr>
        <w:tc>
          <w:tcPr>
            <w:tcW w:type="dxa" w:w="2808"/>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Risk</w:t>
            </w:r>
          </w:p>
        </w:tc>
        <w:tc>
          <w:tcPr>
            <w:tcW w:type="dxa" w:w="4212"/>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Mitigation</w:t>
            </w:r>
          </w:p>
        </w:tc>
        <w:tc>
          <w:tcPr>
            <w:tcW w:type="dxa" w:w="2340"/>
            <w:shd w:fill="0E3A4F" w:color="auto" w:val="clear"/>
            <w:tcMar>
              <w:top w:type="dxa" w:w="80"/>
              <w:left w:type="dxa" w:w="110"/>
              <w:bottom w:type="dxa" w:w="80"/>
              <w:right w:type="dxa" w:w="110"/>
            </w:tcMar>
          </w:tcPr>
          <w:p>
            <w:pPr>
              <w:spacing w:after="0" w:line="260"/>
            </w:pPr>
            <w:r>
              <w:rPr>
                <w:rFonts w:ascii="Calibri" w:cs="Calibri" w:eastAsia="Calibri" w:hAnsi="Calibri"/>
                <w:b/>
                <w:bCs/>
                <w:color w:val="FFFFFF"/>
                <w:sz w:val="19"/>
                <w:szCs w:val="19"/>
              </w:rPr>
              <w:t xml:space="preserve">Escalates to</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Only enthusiasts volunteer, so the finding is not credible internally</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Deliberate selection of respected sceptics; composition documented at G0</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Underwriting</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Release exists on paper only</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Implemented in assignment rules; weekly completion-rate monitoring</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Executive Sponsor</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A key participant leaves mid-studio</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Named backfill per seat; overlap period required for any replacement</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w:t>
            </w:r>
          </w:p>
        </w:tc>
      </w:tr>
      <w:tr>
        <w:tc>
          <w:tcPr>
            <w:tcW w:type="dxa" w:w="2808"/>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Studio Lead is part time and the program drifts</w:t>
            </w:r>
          </w:p>
        </w:tc>
        <w:tc>
          <w:tcPr>
            <w:tcW w:type="dxa" w:w="4212"/>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Full-time requirement stated at G0 as a launch precondition</w:t>
            </w:r>
          </w:p>
        </w:tc>
        <w:tc>
          <w:tcPr>
            <w:tcW w:type="dxa" w:w="2340"/>
            <w:shd w:fill="F2F6F8" w:color="auto" w:val="clear"/>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Executive Sponsor</w:t>
            </w:r>
          </w:p>
        </w:tc>
      </w:tr>
      <w:tr>
        <w:tc>
          <w:tcPr>
            <w:tcW w:type="dxa" w:w="2808"/>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Team drawn only from top performers</w:t>
            </w:r>
          </w:p>
        </w:tc>
        <w:tc>
          <w:tcPr>
            <w:tcW w:type="dxa" w:w="4212"/>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Mixed tenure required; limitation disclosed in the evidence pack if unavoidable</w:t>
            </w:r>
          </w:p>
        </w:tc>
        <w:tc>
          <w:tcPr>
            <w:tcW w:type="dxa" w:w="2340"/>
            <w:tcMar>
              <w:top w:type="dxa" w:w="80"/>
              <w:left w:type="dxa" w:w="110"/>
              <w:bottom w:type="dxa" w:w="80"/>
              <w:right w:type="dxa" w:w="110"/>
            </w:tcMar>
          </w:tcPr>
          <w:p>
            <w:pPr>
              <w:spacing w:after="0" w:line="260"/>
            </w:pPr>
            <w:r>
              <w:rPr>
                <w:rFonts w:ascii="Calibri" w:cs="Calibri" w:eastAsia="Calibri" w:hAnsi="Calibri"/>
                <w:color w:val="1A1A1A"/>
                <w:sz w:val="21"/>
                <w:szCs w:val="21"/>
              </w:rPr>
              <w:t xml:space="preserve">Head of Underwriting</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C" w:sz="4" w:space="6"/>
      </w:pBdr>
    </w:pPr>
    <w:r>
      <w:rPr>
        <w:rFonts w:ascii="Calibri" w:cs="Calibri" w:eastAsia="Calibri" w:hAnsi="Calibri"/>
        <w:color w:val="5A6B73"/>
        <w:sz w:val="16"/>
        <w:szCs w:val="16"/>
      </w:rPr>
      <w:t xml:space="preserve">JazzX Design Studio — 90-Day Framework  │  Small Cross-Functional Team   </w:t>
    </w:r>
    <w:r>
      <w:rPr>
        <w:rFonts w:ascii="Calibri" w:cs="Calibri" w:eastAsia="Calibri" w:hAnsi="Calibri"/>
        <w:color w:val="5A6B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rPr>
        <w:color w:val="1B6B7C"/>
        <w:sz w:val="21"/>
        <w:szCs w:val="21"/>
      </w:rPr>
    </w:lvl>
    <w:lvl w:ilvl="1" w15:tentative="1">
      <w:start w:val="1"/>
      <w:numFmt w:val="bullet"/>
      <w:lvlText w:val="○"/>
      <w:lvlJc w:val="left"/>
      <w:pPr>
        <w:ind w:left="763" w:hanging="259"/>
      </w:pPr>
      <w:rPr>
        <w:color w:val="5A6B73"/>
        <w:sz w:val="21"/>
        <w:szCs w:val="21"/>
      </w:rPr>
    </w:lvl>
    <w:lvl w:ilvl="2" w15:tentative="1">
      <w:start w:val="1"/>
      <w:numFmt w:val="bullet"/>
      <w:lvlText w:val="▪"/>
      <w:lvlJc w:val="left"/>
      <w:pPr>
        <w:ind w:left="1123" w:hanging="259"/>
      </w:pPr>
      <w:rPr>
        <w:color w:val="5A6B73"/>
        <w:sz w:val="21"/>
        <w:szCs w:val="21"/>
      </w:rPr>
    </w:lvl>
  </w:abstractNum>
  <w:abstractNum w:abstractNumId="3" w15:restartNumberingAfterBreak="0">
    <w:multiLevelType w:val="hybridMultilevel"/>
    <w:lvl w:ilvl="0" w15:tentative="1">
      <w:start w:val="1"/>
      <w:numFmt w:val="decimal"/>
      <w:lvlText w:val="%1."/>
      <w:lvlJc w:val="left"/>
      <w:pPr>
        <w:ind w:left="460" w:hanging="316"/>
      </w:pPr>
      <w:rPr>
        <w:b/>
        <w:bCs/>
        <w:color w:val="1B6B7C"/>
        <w:sz w:val="21"/>
        <w:szCs w:val="21"/>
      </w:rPr>
    </w:lvl>
    <w:lvl w:ilvl="1" w15:tentative="1">
      <w:start w:val="1"/>
      <w:numFmt w:val="lowerLetter"/>
      <w:lvlText w:val="%2."/>
      <w:lvlJc w:val="left"/>
      <w:pPr>
        <w:ind w:left="835" w:hanging="316"/>
      </w:pPr>
      <w:rPr>
        <w:color w:val="5A6B73"/>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Cross-Functional Team</dc:title>
  <dc:creator>Design Studio Program Office</dc:creator>
  <dc:description>Six to eight named seats, genuinely released, deliberately mixed.</dc:description>
  <cp:lastModifiedBy>Un-named</cp:lastModifiedBy>
  <cp:revision>1</cp:revision>
  <dcterms:created xsi:type="dcterms:W3CDTF">2026-08-04T00:16:04.898Z</dcterms:created>
  <dcterms:modified xsi:type="dcterms:W3CDTF">2026-08-04T00:16:04.898Z</dcterms:modified>
</cp:coreProperties>
</file>

<file path=docProps/custom.xml><?xml version="1.0" encoding="utf-8"?>
<Properties xmlns="http://schemas.openxmlformats.org/officeDocument/2006/custom-properties" xmlns:vt="http://schemas.openxmlformats.org/officeDocument/2006/docPropsVTypes"/>
</file>