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LAUNCH DESIGN STUDIO  │  ONE-PAGER 10</w:t>
      </w:r>
    </w:p>
    <w:p>
      <w:pPr>
        <w:spacing w:after="60"/>
      </w:pPr>
      <w:r>
        <w:rPr>
          <w:rFonts w:ascii="Calibri" w:cs="Calibri" w:eastAsia="Calibri" w:hAnsi="Calibri"/>
          <w:b/>
          <w:bCs/>
          <w:color w:val="0E3A4F"/>
          <w:sz w:val="40"/>
          <w:szCs w:val="40"/>
        </w:rPr>
        <w:t xml:space="preserve">Loan Types &amp; Market Selection</w:t>
      </w:r>
    </w:p>
    <w:p>
      <w:pPr>
        <w:pBdr>
          <w:bottom w:val="single" w:color="1B6B7C" w:sz="12" w:space="8"/>
        </w:pBdr>
        <w:spacing w:after="200"/>
      </w:pPr>
      <w:r>
        <w:rPr>
          <w:rFonts w:ascii="Calibri" w:cs="Calibri" w:eastAsia="Calibri" w:hAnsi="Calibri"/>
          <w:i/>
          <w:iCs/>
          <w:color w:val="5A6B73"/>
          <w:sz w:val="21"/>
          <w:szCs w:val="21"/>
        </w:rPr>
        <w:t xml:space="preserve">Narrow enough to prove something, representative enough that it means something.</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select the loan slice the studio will run, using explicit criteria agreed in advance. The slice determines whether the studio can reach a usable sample, whether the result generalises to the wider portfolio, and how much regulatory surface the studio carries. Getting this wrong is expensive and cannot be corrected after Gate 1 without restarting the baseline.</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the selection</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applies the criteria and documents the choice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volume and mix analysis</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state and channel regulatory surface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approves at G0</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The studio runs </w:t>
      </w:r>
      <w:r>
        <w:rPr>
          <w:rFonts w:ascii="Calibri" w:cs="Calibri" w:eastAsia="Calibri" w:hAnsi="Calibri"/>
          <w:b/>
          <w:bCs/>
          <w:color w:val="1A1A1A"/>
          <w:sz w:val="21"/>
          <w:szCs w:val="21"/>
        </w:rPr>
        <w:t xml:space="preserve">one primary slice</w:t>
      </w:r>
      <w:r>
        <w:rPr>
          <w:rFonts w:ascii="Calibri" w:cs="Calibri" w:eastAsia="Calibri" w:hAnsi="Calibri"/>
          <w:color w:val="1A1A1A"/>
          <w:sz w:val="21"/>
          <w:szCs w:val="21"/>
        </w:rPr>
        <w:t xml:space="preserve">, defined by a written inclusion rule that a person can apply to a file without judgement.</w:t>
      </w:r>
    </w:p>
    <w:p>
      <w:pPr>
        <w:pStyle w:val="ListParagraph"/>
        <w:numPr>
          <w:ilvl w:val="0"/>
          <w:numId w:val="2"/>
        </w:numPr>
        <w:spacing w:after="80" w:line="276"/>
      </w:pPr>
      <w:r>
        <w:rPr>
          <w:rFonts w:ascii="Calibri" w:cs="Calibri" w:eastAsia="Calibri" w:hAnsi="Calibri"/>
          <w:color w:val="1A1A1A"/>
          <w:sz w:val="21"/>
          <w:szCs w:val="21"/>
        </w:rPr>
        <w:t xml:space="preserve">The slice must deliver </w:t>
      </w:r>
      <w:r>
        <w:rPr>
          <w:rFonts w:ascii="Calibri" w:cs="Calibri" w:eastAsia="Calibri" w:hAnsi="Calibri"/>
          <w:b/>
          <w:bCs/>
          <w:color w:val="1A1A1A"/>
          <w:sz w:val="21"/>
          <w:szCs w:val="21"/>
        </w:rPr>
        <w:t xml:space="preserve">150–200 loans in 90 days</w:t>
      </w:r>
      <w:r>
        <w:rPr>
          <w:rFonts w:ascii="Calibri" w:cs="Calibri" w:eastAsia="Calibri" w:hAnsi="Calibri"/>
          <w:color w:val="1A1A1A"/>
          <w:sz w:val="21"/>
          <w:szCs w:val="21"/>
        </w:rPr>
        <w:t xml:space="preserve"> at realistic volumes, or the sample argument fails before the studio begins.</w:t>
      </w:r>
    </w:p>
    <w:p>
      <w:pPr>
        <w:pStyle w:val="ListParagraph"/>
        <w:numPr>
          <w:ilvl w:val="0"/>
          <w:numId w:val="2"/>
        </w:numPr>
        <w:spacing w:after="80" w:line="276"/>
      </w:pPr>
      <w:r>
        <w:rPr>
          <w:rFonts w:ascii="Calibri" w:cs="Calibri" w:eastAsia="Calibri" w:hAnsi="Calibri"/>
          <w:color w:val="1A1A1A"/>
          <w:sz w:val="21"/>
          <w:szCs w:val="21"/>
        </w:rPr>
        <w:t xml:space="preserve">Prefer the </w:t>
      </w:r>
      <w:r>
        <w:rPr>
          <w:rFonts w:ascii="Calibri" w:cs="Calibri" w:eastAsia="Calibri" w:hAnsi="Calibri"/>
          <w:b/>
          <w:bCs/>
          <w:color w:val="1A1A1A"/>
          <w:sz w:val="21"/>
          <w:szCs w:val="21"/>
        </w:rPr>
        <w:t xml:space="preserve">highest-volume, most standardised</w:t>
      </w:r>
      <w:r>
        <w:rPr>
          <w:rFonts w:ascii="Calibri" w:cs="Calibri" w:eastAsia="Calibri" w:hAnsi="Calibri"/>
          <w:color w:val="1A1A1A"/>
          <w:sz w:val="21"/>
          <w:szCs w:val="21"/>
        </w:rPr>
        <w:t xml:space="preserve"> segment first. Proving value on the hardest loans is a scale-phase ambition, not a studio ambition.</w:t>
      </w:r>
    </w:p>
    <w:p>
      <w:pPr>
        <w:pStyle w:val="ListParagraph"/>
        <w:numPr>
          <w:ilvl w:val="0"/>
          <w:numId w:val="2"/>
        </w:numPr>
        <w:spacing w:after="80" w:line="276"/>
      </w:pPr>
      <w:r>
        <w:rPr>
          <w:rFonts w:ascii="Calibri" w:cs="Calibri" w:eastAsia="Calibri" w:hAnsi="Calibri"/>
          <w:color w:val="1A1A1A"/>
          <w:sz w:val="21"/>
          <w:szCs w:val="21"/>
        </w:rPr>
        <w:t xml:space="preserve">Exclude segments that add regulatory surface without adding evidence value — the studio is not the place to test a new state, channel, or product simultaneously.</w:t>
      </w:r>
    </w:p>
    <w:p>
      <w:pPr>
        <w:pStyle w:val="ListParagraph"/>
        <w:numPr>
          <w:ilvl w:val="0"/>
          <w:numId w:val="2"/>
        </w:numPr>
        <w:spacing w:after="80" w:line="276"/>
      </w:pPr>
      <w:r>
        <w:rPr>
          <w:rFonts w:ascii="Calibri" w:cs="Calibri" w:eastAsia="Calibri" w:hAnsi="Calibri"/>
          <w:color w:val="1A1A1A"/>
          <w:sz w:val="21"/>
          <w:szCs w:val="21"/>
        </w:rPr>
        <w:t xml:space="preserve">The slice definition is </w:t>
      </w:r>
      <w:r>
        <w:rPr>
          <w:rFonts w:ascii="Calibri" w:cs="Calibri" w:eastAsia="Calibri" w:hAnsi="Calibri"/>
          <w:b/>
          <w:bCs/>
          <w:color w:val="1A1A1A"/>
          <w:sz w:val="21"/>
          <w:szCs w:val="21"/>
        </w:rPr>
        <w:t xml:space="preserve">frozen at G1</w:t>
      </w:r>
      <w:r>
        <w:rPr>
          <w:rFonts w:ascii="Calibri" w:cs="Calibri" w:eastAsia="Calibri" w:hAnsi="Calibri"/>
          <w:color w:val="1A1A1A"/>
          <w:sz w:val="21"/>
          <w:szCs w:val="21"/>
        </w:rPr>
        <w:t xml:space="preserve"> with the baseline. Changing it afterward invalidates the comparison.</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Selection criteria</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246"/>
        <w:gridCol w:w="3369"/>
        <w:gridCol w:w="3745"/>
      </w:tblGrid>
      <w:tr>
        <w:trPr>
          <w:tblHeader/>
        </w:trPr>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Criterion</w:t>
            </w:r>
          </w:p>
        </w:tc>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good looks like</w:t>
            </w:r>
          </w:p>
        </w:tc>
        <w:tc>
          <w:tcPr>
            <w:tcW w:type="dxa" w:w="374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Why</w:t>
            </w:r>
          </w:p>
        </w:tc>
      </w:tr>
      <w:tr>
        <w:tc>
          <w:tcPr>
            <w:tcW w:type="dxa" w:w="224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Volume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150–200 loans reachable in 90 days</w:t>
            </w:r>
          </w:p>
        </w:tc>
        <w:tc>
          <w:tcPr>
            <w:tcW w:type="dxa" w:w="374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Below this the statistics do not support a conclusion</w:t>
            </w:r>
          </w:p>
        </w:tc>
      </w:tr>
      <w:tr>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Standardisation</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Documentation and guidelines are consistent</w:t>
            </w:r>
          </w:p>
        </w:tc>
        <w:tc>
          <w:tcPr>
            <w:tcW w:type="dxa" w:w="374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Variability consumes sample; the studio measures Jazz, not guideline chaos</w:t>
            </w:r>
          </w:p>
        </w:tc>
      </w:tr>
      <w:tr>
        <w:tc>
          <w:tcPr>
            <w:tcW w:type="dxa" w:w="224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Pain</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segment has real, acknowledged cost or friction</w:t>
            </w:r>
          </w:p>
        </w:tc>
        <w:tc>
          <w:tcPr>
            <w:tcW w:type="dxa" w:w="374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Value has somewhere to come from</w:t>
            </w:r>
          </w:p>
        </w:tc>
      </w:tr>
      <w:tr>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Representativeness</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Findings plausibly extend to a larger share of the portfolio</w:t>
            </w:r>
          </w:p>
        </w:tc>
        <w:tc>
          <w:tcPr>
            <w:tcW w:type="dxa" w:w="374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Determines whether the business case scales</w:t>
            </w:r>
          </w:p>
        </w:tc>
      </w:tr>
      <w:tr>
        <w:tc>
          <w:tcPr>
            <w:tcW w:type="dxa" w:w="224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Regulatory surface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Familiar states, familiar channel, no novel product</w:t>
            </w:r>
          </w:p>
        </w:tc>
        <w:tc>
          <w:tcPr>
            <w:tcW w:type="dxa" w:w="374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Keeps the studio's risk about AI, not about a new market</w:t>
            </w:r>
          </w:p>
        </w:tc>
      </w:tr>
      <w:tr>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Data availability</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Clean historical LOS data for the baseline</w:t>
            </w:r>
          </w:p>
        </w:tc>
        <w:tc>
          <w:tcPr>
            <w:tcW w:type="dxa" w:w="374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baseline, no proof of value</w:t>
            </w:r>
          </w:p>
        </w:tc>
      </w:tr>
      <w:tr>
        <w:tc>
          <w:tcPr>
            <w:tcW w:type="dxa" w:w="224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Team fit</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studio underwriters genuinely know this segment</w:t>
            </w:r>
          </w:p>
        </w:tc>
        <w:tc>
          <w:tcPr>
            <w:tcW w:type="dxa" w:w="374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Ground truth requires expertise</w:t>
            </w:r>
          </w:p>
        </w:tc>
      </w:tr>
    </w:tbl>
    <w:p>
      <w:pPr>
        <w:spacing w:after="160"/>
      </w:pPr>
    </w:p>
    <w:p>
      <w:pPr>
        <w:spacing w:after="80" w:before="200"/>
      </w:pPr>
      <w:r>
        <w:rPr>
          <w:rFonts w:ascii="Calibri" w:cs="Calibri" w:eastAsia="Calibri" w:hAnsi="Calibri"/>
          <w:b/>
          <w:bCs/>
          <w:color w:val="0E3A4F"/>
          <w:sz w:val="22"/>
          <w:szCs w:val="22"/>
        </w:rPr>
        <w:t xml:space="preserve">Typical starting point</w:t>
      </w:r>
    </w:p>
    <w:p>
      <w:pPr>
        <w:spacing w:after="120" w:line="276"/>
      </w:pPr>
      <w:r>
        <w:rPr>
          <w:rFonts w:ascii="Calibri" w:cs="Calibri" w:eastAsia="Calibri" w:hAnsi="Calibri"/>
          <w:color w:val="1A1A1A"/>
          <w:sz w:val="21"/>
          <w:szCs w:val="21"/>
        </w:rPr>
        <w:t xml:space="preserve">For most retail lenders the defensible first slice is </w:t>
      </w:r>
      <w:r>
        <w:rPr>
          <w:rFonts w:ascii="Calibri" w:cs="Calibri" w:eastAsia="Calibri" w:hAnsi="Calibri"/>
          <w:b/>
          <w:bCs/>
          <w:color w:val="1A1A1A"/>
          <w:sz w:val="21"/>
          <w:szCs w:val="21"/>
        </w:rPr>
        <w:t xml:space="preserve">conventional conforming, W-2 salaried borrowers, purchase or rate-term refinance, owner-occupied, single-family, retail channel, in the lender's top three states by volume.</w:t>
      </w:r>
      <w:r>
        <w:rPr>
          <w:rFonts w:ascii="Calibri" w:cs="Calibri" w:eastAsia="Calibri" w:hAnsi="Calibri"/>
          <w:color w:val="1A1A1A"/>
          <w:sz w:val="21"/>
          <w:szCs w:val="21"/>
        </w:rPr>
        <w:t xml:space="preserve"> It is high volume, highly standardised, well understood by any underwriting team, and carries no novel regulatory exposure.</w:t>
      </w:r>
    </w:p>
    <w:p>
      <w:pPr>
        <w:spacing w:after="120" w:line="276"/>
      </w:pPr>
      <w:r>
        <w:rPr>
          <w:rFonts w:ascii="Calibri" w:cs="Calibri" w:eastAsia="Calibri" w:hAnsi="Calibri"/>
          <w:color w:val="1A1A1A"/>
          <w:sz w:val="21"/>
          <w:szCs w:val="21"/>
        </w:rPr>
        <w:t xml:space="preserve">The most common objection is that this segment is "already easy" and therefore not worth automating. That objection misreads the studio's purpose. The studio is establishing whether Jazz works and what it is worth, not finding the hardest possible test. Easy volume is where automation value is realised at scale in any case, and a clean answer on a standard segment is far more useful than an ambiguous answer on a complex one.</w:t>
      </w:r>
    </w:p>
    <w:p>
      <w:pPr>
        <w:spacing w:after="80" w:before="200"/>
      </w:pPr>
      <w:r>
        <w:rPr>
          <w:rFonts w:ascii="Calibri" w:cs="Calibri" w:eastAsia="Calibri" w:hAnsi="Calibri"/>
          <w:b/>
          <w:bCs/>
          <w:color w:val="0E3A4F"/>
          <w:sz w:val="22"/>
          <w:szCs w:val="22"/>
        </w:rPr>
        <w:t xml:space="preserve">What to exclude from the first slice</w:t>
      </w:r>
    </w:p>
    <w:p>
      <w:pPr>
        <w:pStyle w:val="ListParagraph"/>
        <w:numPr>
          <w:ilvl w:val="0"/>
          <w:numId w:val="3"/>
        </w:numPr>
        <w:spacing w:after="80" w:line="276"/>
      </w:pPr>
      <w:r>
        <w:rPr>
          <w:rFonts w:ascii="Calibri" w:cs="Calibri" w:eastAsia="Calibri" w:hAnsi="Calibri"/>
          <w:color w:val="1A1A1A"/>
          <w:sz w:val="21"/>
          <w:szCs w:val="21"/>
        </w:rPr>
        <w:t xml:space="preserve">Self-employed and complex income — high value eventually, but variability will consume the whole sample</w:t>
      </w:r>
    </w:p>
    <w:p>
      <w:pPr>
        <w:pStyle w:val="ListParagraph"/>
        <w:numPr>
          <w:ilvl w:val="0"/>
          <w:numId w:val="3"/>
        </w:numPr>
        <w:spacing w:after="80" w:line="276"/>
      </w:pPr>
      <w:r>
        <w:rPr>
          <w:rFonts w:ascii="Calibri" w:cs="Calibri" w:eastAsia="Calibri" w:hAnsi="Calibri"/>
          <w:color w:val="1A1A1A"/>
          <w:sz w:val="21"/>
          <w:szCs w:val="21"/>
        </w:rPr>
        <w:t xml:space="preserve">Non-QM, jumbo, and portfolio products — different guidelines and thinner volume</w:t>
      </w:r>
    </w:p>
    <w:p>
      <w:pPr>
        <w:pStyle w:val="ListParagraph"/>
        <w:numPr>
          <w:ilvl w:val="0"/>
          <w:numId w:val="3"/>
        </w:numPr>
        <w:spacing w:after="80" w:line="276"/>
      </w:pPr>
      <w:r>
        <w:rPr>
          <w:rFonts w:ascii="Calibri" w:cs="Calibri" w:eastAsia="Calibri" w:hAnsi="Calibri"/>
          <w:color w:val="1A1A1A"/>
          <w:sz w:val="21"/>
          <w:szCs w:val="21"/>
        </w:rPr>
        <w:t xml:space="preserve">Government lending (FHA/VA/USDA) — additional agency requirements add surface without adding evidence</w:t>
      </w:r>
    </w:p>
    <w:p>
      <w:pPr>
        <w:pStyle w:val="ListParagraph"/>
        <w:numPr>
          <w:ilvl w:val="0"/>
          <w:numId w:val="3"/>
        </w:numPr>
        <w:spacing w:after="80" w:line="276"/>
      </w:pPr>
      <w:r>
        <w:rPr>
          <w:rFonts w:ascii="Calibri" w:cs="Calibri" w:eastAsia="Calibri" w:hAnsi="Calibri"/>
          <w:color w:val="1A1A1A"/>
          <w:sz w:val="21"/>
          <w:szCs w:val="21"/>
        </w:rPr>
        <w:t xml:space="preserve">Construction, renovation, and bridge — process differs too much to generalise</w:t>
      </w:r>
    </w:p>
    <w:p>
      <w:pPr>
        <w:pStyle w:val="ListParagraph"/>
        <w:numPr>
          <w:ilvl w:val="0"/>
          <w:numId w:val="3"/>
        </w:numPr>
        <w:spacing w:after="80" w:line="276"/>
      </w:pPr>
      <w:r>
        <w:rPr>
          <w:rFonts w:ascii="Calibri" w:cs="Calibri" w:eastAsia="Calibri" w:hAnsi="Calibri"/>
          <w:color w:val="1A1A1A"/>
          <w:sz w:val="21"/>
          <w:szCs w:val="21"/>
        </w:rPr>
        <w:t xml:space="preserve">Any state with distinct AI or automated-decisioning requirements not already assessed</w:t>
      </w:r>
    </w:p>
    <w:p>
      <w:pPr>
        <w:pStyle w:val="ListParagraph"/>
        <w:numPr>
          <w:ilvl w:val="0"/>
          <w:numId w:val="3"/>
        </w:numPr>
        <w:spacing w:after="80" w:line="276"/>
      </w:pPr>
      <w:r>
        <w:rPr>
          <w:rFonts w:ascii="Calibri" w:cs="Calibri" w:eastAsia="Calibri" w:hAnsi="Calibri"/>
          <w:color w:val="1A1A1A"/>
          <w:sz w:val="21"/>
          <w:szCs w:val="21"/>
        </w:rPr>
        <w:t xml:space="preserve">New channels or newly acquired teams — too many variables changing at once</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Slice definition — written so it can be applied without judgement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620"/>
        <w:gridCol w:w="3369"/>
        <w:gridCol w:w="3371"/>
      </w:tblGrid>
      <w:tr>
        <w:trPr>
          <w:tblHeader/>
        </w:trPr>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Dimension</w:t>
            </w:r>
          </w:p>
        </w:tc>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In scope</w:t>
            </w:r>
          </w:p>
        </w:tc>
        <w:tc>
          <w:tcPr>
            <w:tcW w:type="dxa" w:w="337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Explicitly out</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purpose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Occupancy</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Property type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Product / agency</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Income type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Channel</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States</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amount range</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Credit profile range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Expected volume / week</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337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If two people applying this rule to the same file can disagree, the rule is not finished.</w:t>
      </w:r>
    </w:p>
    <w:p>
      <w:pPr>
        <w:spacing w:after="80" w:before="200"/>
      </w:pPr>
      <w:r>
        <w:rPr>
          <w:rFonts w:ascii="Calibri" w:cs="Calibri" w:eastAsia="Calibri" w:hAnsi="Calibri"/>
          <w:b/>
          <w:bCs/>
          <w:color w:val="0E3A4F"/>
          <w:sz w:val="22"/>
          <w:szCs w:val="22"/>
        </w:rPr>
        <w:t xml:space="preserve">Volume validation — analyst completes before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4680"/>
        <w:gridCol w:w="2246"/>
        <w:gridCol w:w="2434"/>
      </w:tblGrid>
      <w:tr>
        <w:trPr>
          <w:tblHeader/>
        </w:trPr>
        <w:tc>
          <w:tcPr>
            <w:tcW w:type="dxa" w:w="468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Question</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Answer</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Source</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Loans matching the slice in the last 12 months</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Average per week</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Seasonal low in the studio window</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Realistic studio capture rate</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Ops</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Projected studio loans by Day 60</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Derived</w:t>
            </w:r>
          </w:p>
        </w:tc>
      </w:tr>
      <w:tr>
        <w:tc>
          <w:tcPr>
            <w:tcW w:type="dxa" w:w="468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Projected by Day 90</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Derived</w:t>
            </w:r>
          </w:p>
        </w:tc>
      </w:tr>
      <w:tr>
        <w:tc>
          <w:tcPr>
            <w:tcW w:type="dxa" w:w="468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Meets the 150–200 target?</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Volume and mix analysis; slice drafted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Draft slice definition</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G0</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Slice approved by Steering</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Frozen slice definition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Actual vs. projected volume tracked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Volume trajectory</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45</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Volume checkpoint — scope conversation if short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Scope decision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Confirm the live sub-slice for Phase 3</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Live cohort definition</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Slice defined in writing and applied consistently by two independent testers</w:t>
      </w:r>
    </w:p>
    <w:p>
      <w:pPr>
        <w:pStyle w:val="ListParagraph"/>
        <w:numPr>
          <w:ilvl w:val="0"/>
          <w:numId w:val="3"/>
        </w:numPr>
        <w:spacing w:after="80" w:line="276"/>
      </w:pPr>
      <w:r>
        <w:rPr>
          <w:rFonts w:ascii="Calibri" w:cs="Calibri" w:eastAsia="Calibri" w:hAnsi="Calibri"/>
          <w:color w:val="1A1A1A"/>
          <w:sz w:val="21"/>
          <w:szCs w:val="21"/>
        </w:rPr>
        <w:t xml:space="preserve">Volume projection validated against 12 months of actual data</w:t>
      </w:r>
    </w:p>
    <w:p>
      <w:pPr>
        <w:pStyle w:val="ListParagraph"/>
        <w:numPr>
          <w:ilvl w:val="0"/>
          <w:numId w:val="3"/>
        </w:numPr>
        <w:spacing w:after="80" w:line="276"/>
      </w:pPr>
      <w:r>
        <w:rPr>
          <w:rFonts w:ascii="Calibri" w:cs="Calibri" w:eastAsia="Calibri" w:hAnsi="Calibri"/>
          <w:color w:val="1A1A1A"/>
          <w:sz w:val="21"/>
          <w:szCs w:val="21"/>
        </w:rPr>
        <w:t xml:space="preserve">Regulatory surface confirmed by Compliance for every state in scope</w:t>
      </w:r>
    </w:p>
    <w:p>
      <w:pPr>
        <w:pStyle w:val="ListParagraph"/>
        <w:numPr>
          <w:ilvl w:val="0"/>
          <w:numId w:val="3"/>
        </w:numPr>
        <w:spacing w:after="80" w:line="276"/>
      </w:pPr>
      <w:r>
        <w:rPr>
          <w:rFonts w:ascii="Calibri" w:cs="Calibri" w:eastAsia="Calibri" w:hAnsi="Calibri"/>
          <w:color w:val="1A1A1A"/>
          <w:sz w:val="21"/>
          <w:szCs w:val="21"/>
        </w:rPr>
        <w:t xml:space="preserve">Baseline data confirmed available for the same slice</w:t>
      </w:r>
    </w:p>
    <w:p>
      <w:pPr>
        <w:pStyle w:val="ListParagraph"/>
        <w:numPr>
          <w:ilvl w:val="0"/>
          <w:numId w:val="3"/>
        </w:numPr>
        <w:spacing w:after="80" w:line="276"/>
      </w:pPr>
      <w:r>
        <w:rPr>
          <w:rFonts w:ascii="Calibri" w:cs="Calibri" w:eastAsia="Calibri" w:hAnsi="Calibri"/>
          <w:color w:val="1A1A1A"/>
          <w:sz w:val="21"/>
          <w:szCs w:val="21"/>
        </w:rPr>
        <w:t xml:space="preserve">Slice frozen at G1 and unchanged thereafter</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Slice too narrow to reach sample size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Volume validated against 12 months of actuals before G0; Day 45 checkpoint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Slice too broad and variability swamps the signal</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Standardisation criterion applied explicitly; complex income excluded from wave one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Pressure to include a complex segment "since we are doing this anyway"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Out-of-scope list is published; additions require a Steering decision that moves Day 90</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Result does not generalise beyond the slice</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Representativeness assessed at selection and stated as a limitation at G4</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Seasonal volume collapse mid-studio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Seasonal low modelled in the projection, not the annual average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Loan Types &amp; Market Selection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Types &amp; Market Selection</dc:title>
  <dc:creator>Design Studio Program Office</dc:creator>
  <dc:description>Narrow enough to prove something, representative enough that it means something.</dc:description>
  <cp:lastModifiedBy>Un-named</cp:lastModifiedBy>
  <cp:revision>1</cp:revision>
  <dcterms:created xsi:type="dcterms:W3CDTF">2026-08-04T00:16:04.934Z</dcterms:created>
  <dcterms:modified xsi:type="dcterms:W3CDTF">2026-08-04T00:16:04.934Z</dcterms:modified>
</cp:coreProperties>
</file>

<file path=docProps/custom.xml><?xml version="1.0" encoding="utf-8"?>
<Properties xmlns="http://schemas.openxmlformats.org/officeDocument/2006/custom-properties" xmlns:vt="http://schemas.openxmlformats.org/officeDocument/2006/docPropsVTypes"/>
</file>