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E8FA3"/>
          <w:spacing w:val="30"/>
          <w:sz w:val="17"/>
          <w:szCs w:val="17"/>
        </w:rPr>
        <w:t xml:space="preserve">EXECUTION — LAUNCH DESIGN STUDIO  │  ONE-PAGER 11</w:t>
      </w:r>
    </w:p>
    <w:p>
      <w:pPr>
        <w:spacing w:after="60"/>
      </w:pPr>
      <w:r>
        <w:rPr>
          <w:rFonts w:ascii="Calibri" w:cs="Calibri" w:eastAsia="Calibri" w:hAnsi="Calibri"/>
          <w:b/>
          <w:bCs/>
          <w:color w:val="0E3A4F"/>
          <w:sz w:val="40"/>
          <w:szCs w:val="40"/>
        </w:rPr>
        <w:t xml:space="preserve">Design Studio Process vs. Current Workflow</w:t>
      </w:r>
    </w:p>
    <w:p>
      <w:pPr>
        <w:pBdr>
          <w:bottom w:val="single" w:color="1B6B7C" w:sz="12" w:space="8"/>
        </w:pBdr>
        <w:spacing w:after="200"/>
      </w:pPr>
      <w:r>
        <w:rPr>
          <w:rFonts w:ascii="Calibri" w:cs="Calibri" w:eastAsia="Calibri" w:hAnsi="Calibri"/>
          <w:i/>
          <w:iCs/>
          <w:color w:val="5A6B73"/>
          <w:sz w:val="21"/>
          <w:szCs w:val="21"/>
        </w:rPr>
        <w:t xml:space="preserve">The parallel path: what changes, what does not, and when a loan leaves the studio.</w:t>
      </w:r>
    </w:p>
    <w:p>
      <w:pPr>
        <w:pBdr>
          <w:bottom w:val="single" w:color="C9D6DC" w:sz="6" w:space="6"/>
        </w:pBdr>
        <w:spacing w:after="140" w:before="280"/>
      </w:pPr>
      <w:r>
        <w:rPr>
          <w:rFonts w:ascii="Calibri" w:cs="Calibri" w:eastAsia="Calibri" w:hAnsi="Calibri"/>
          <w:b/>
          <w:bCs/>
          <w:color w:val="1B6B7C"/>
          <w:spacing w:val="20"/>
          <w:sz w:val="20"/>
          <w:szCs w:val="20"/>
        </w:rPr>
        <w:t xml:space="preserve">PURPOSE</w:t>
      </w:r>
    </w:p>
    <w:p>
      <w:pPr>
        <w:spacing w:after="120" w:line="276"/>
      </w:pPr>
      <w:r>
        <w:rPr>
          <w:rFonts w:ascii="Calibri" w:cs="Calibri" w:eastAsia="Calibri" w:hAnsi="Calibri"/>
          <w:color w:val="1A1A1A"/>
          <w:sz w:val="21"/>
          <w:szCs w:val="21"/>
        </w:rPr>
        <w:t xml:space="preserve">To define precisely how a studio loan is handled differently from a standard loan, so that participants are never improvising and so that the comparison data means something. Ambiguity here produces inconsistent handling, which produces evidence that cannot be defended at Gate 4.</w:t>
      </w:r>
    </w:p>
    <w:p>
      <w:pPr>
        <w:pBdr>
          <w:bottom w:val="single" w:color="C9D6DC" w:sz="6" w:space="6"/>
        </w:pBdr>
        <w:spacing w:after="140" w:before="280"/>
      </w:pPr>
      <w:r>
        <w:rPr>
          <w:rFonts w:ascii="Calibri" w:cs="Calibri" w:eastAsia="Calibri" w:hAnsi="Calibri"/>
          <w:b/>
          <w:bCs/>
          <w:color w:val="1B6B7C"/>
          <w:spacing w:val="20"/>
          <w:sz w:val="20"/>
          <w:szCs w:val="20"/>
        </w:rPr>
        <w:t xml:space="preserve">OWNER &amp; RACI</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182"/>
        <w:gridCol w:w="3744"/>
        <w:gridCol w:w="2434"/>
      </w:tblGrid>
      <w:tr>
        <w:trPr>
          <w:tblHeader/>
        </w:trPr>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Role</w:t>
            </w:r>
          </w:p>
        </w:tc>
        <w:tc>
          <w:tcPr>
            <w:tcW w:type="dxa" w:w="374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Who (fill in at G0)</w:t>
            </w:r>
          </w:p>
        </w:tc>
        <w:tc>
          <w:tcPr>
            <w:tcW w:type="dxa" w:w="243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 / A / C / I</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Operations</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owns the workflow</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designs and maintains the studio path</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Senior underwriter / processor</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validates it is workable</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cohort tagging and routing</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confirms the control model</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DECISIONS THIS DOCUMENT MAKES</w:t>
      </w:r>
    </w:p>
    <w:p>
      <w:pPr>
        <w:pStyle w:val="ListParagraph"/>
        <w:numPr>
          <w:ilvl w:val="0"/>
          <w:numId w:val="2"/>
        </w:numPr>
        <w:spacing w:after="80" w:line="276"/>
      </w:pPr>
      <w:r>
        <w:rPr>
          <w:rFonts w:ascii="Calibri" w:cs="Calibri" w:eastAsia="Calibri" w:hAnsi="Calibri"/>
          <w:color w:val="1A1A1A"/>
          <w:sz w:val="21"/>
          <w:szCs w:val="21"/>
        </w:rPr>
        <w:t xml:space="preserve">During shadow, the </w:t>
      </w:r>
      <w:r>
        <w:rPr>
          <w:rFonts w:ascii="Calibri" w:cs="Calibri" w:eastAsia="Calibri" w:hAnsi="Calibri"/>
          <w:b/>
          <w:bCs/>
          <w:color w:val="1A1A1A"/>
          <w:sz w:val="21"/>
          <w:szCs w:val="21"/>
        </w:rPr>
        <w:t xml:space="preserve">standard workflow is unchanged and remains the system of record.</w:t>
      </w:r>
      <w:r>
        <w:rPr>
          <w:rFonts w:ascii="Calibri" w:cs="Calibri" w:eastAsia="Calibri" w:hAnsi="Calibri"/>
          <w:color w:val="1A1A1A"/>
          <w:sz w:val="21"/>
          <w:szCs w:val="21"/>
        </w:rPr>
        <w:t xml:space="preserve"> Jazz runs alongside it and touches nothing.</w:t>
      </w:r>
    </w:p>
    <w:p>
      <w:pPr>
        <w:pStyle w:val="ListParagraph"/>
        <w:numPr>
          <w:ilvl w:val="0"/>
          <w:numId w:val="2"/>
        </w:numPr>
        <w:spacing w:after="80" w:line="276"/>
      </w:pPr>
      <w:r>
        <w:rPr>
          <w:rFonts w:ascii="Calibri" w:cs="Calibri" w:eastAsia="Calibri" w:hAnsi="Calibri"/>
          <w:b/>
          <w:bCs/>
          <w:color w:val="1A1A1A"/>
          <w:sz w:val="21"/>
          <w:szCs w:val="21"/>
        </w:rPr>
        <w:t xml:space="preserve">Human forms a view first, then reviews Jazz output.</w:t>
      </w:r>
      <w:r>
        <w:rPr>
          <w:rFonts w:ascii="Calibri" w:cs="Calibri" w:eastAsia="Calibri" w:hAnsi="Calibri"/>
          <w:color w:val="1A1A1A"/>
          <w:sz w:val="21"/>
          <w:szCs w:val="21"/>
        </w:rPr>
        <w:t xml:space="preserve"> This ordering is enforced by the workflow, because anchoring silently destroys the recall measurement.</w:t>
      </w:r>
    </w:p>
    <w:p>
      <w:pPr>
        <w:pStyle w:val="ListParagraph"/>
        <w:numPr>
          <w:ilvl w:val="0"/>
          <w:numId w:val="2"/>
        </w:numPr>
        <w:spacing w:after="80" w:line="276"/>
      </w:pPr>
      <w:r>
        <w:rPr>
          <w:rFonts w:ascii="Calibri" w:cs="Calibri" w:eastAsia="Calibri" w:hAnsi="Calibri"/>
          <w:color w:val="1A1A1A"/>
          <w:sz w:val="21"/>
          <w:szCs w:val="21"/>
        </w:rPr>
        <w:t xml:space="preserve">A loan </w:t>
      </w:r>
      <w:r>
        <w:rPr>
          <w:rFonts w:ascii="Calibri" w:cs="Calibri" w:eastAsia="Calibri" w:hAnsi="Calibri"/>
          <w:b/>
          <w:bCs/>
          <w:color w:val="1A1A1A"/>
          <w:sz w:val="21"/>
          <w:szCs w:val="21"/>
        </w:rPr>
        <w:t xml:space="preserve">exits the studio immediately</w:t>
      </w:r>
      <w:r>
        <w:rPr>
          <w:rFonts w:ascii="Calibri" w:cs="Calibri" w:eastAsia="Calibri" w:hAnsi="Calibri"/>
          <w:color w:val="1A1A1A"/>
          <w:sz w:val="21"/>
          <w:szCs w:val="21"/>
        </w:rPr>
        <w:t xml:space="preserve"> on any of the defined exit triggers, and exits are recorded — an unrecorded exit looks like a data gap at Gate 4.</w:t>
      </w:r>
    </w:p>
    <w:p>
      <w:pPr>
        <w:pStyle w:val="ListParagraph"/>
        <w:numPr>
          <w:ilvl w:val="0"/>
          <w:numId w:val="2"/>
        </w:numPr>
        <w:spacing w:after="80" w:line="276"/>
      </w:pPr>
      <w:r>
        <w:rPr>
          <w:rFonts w:ascii="Calibri" w:cs="Calibri" w:eastAsia="Calibri" w:hAnsi="Calibri"/>
          <w:color w:val="1A1A1A"/>
          <w:sz w:val="21"/>
          <w:szCs w:val="21"/>
        </w:rPr>
        <w:t xml:space="preserve">In Phase 3 limited live, Jazz output enters the file, but </w:t>
      </w:r>
      <w:r>
        <w:rPr>
          <w:rFonts w:ascii="Calibri" w:cs="Calibri" w:eastAsia="Calibri" w:hAnsi="Calibri"/>
          <w:b/>
          <w:bCs/>
          <w:color w:val="1A1A1A"/>
          <w:sz w:val="21"/>
          <w:szCs w:val="21"/>
        </w:rPr>
        <w:t xml:space="preserve">100% human review remains</w:t>
      </w:r>
      <w:r>
        <w:rPr>
          <w:rFonts w:ascii="Calibri" w:cs="Calibri" w:eastAsia="Calibri" w:hAnsi="Calibri"/>
          <w:color w:val="1A1A1A"/>
          <w:sz w:val="21"/>
          <w:szCs w:val="21"/>
        </w:rPr>
        <w:t xml:space="preserve"> and the human retains the decision.</w:t>
      </w:r>
    </w:p>
    <w:p>
      <w:pPr>
        <w:pStyle w:val="ListParagraph"/>
        <w:numPr>
          <w:ilvl w:val="0"/>
          <w:numId w:val="2"/>
        </w:numPr>
        <w:spacing w:after="80" w:line="276"/>
      </w:pPr>
      <w:r>
        <w:rPr>
          <w:rFonts w:ascii="Calibri" w:cs="Calibri" w:eastAsia="Calibri" w:hAnsi="Calibri"/>
          <w:color w:val="1A1A1A"/>
          <w:sz w:val="21"/>
          <w:szCs w:val="21"/>
        </w:rPr>
        <w:t xml:space="preserve">No studio loan ever experiences a </w:t>
      </w:r>
      <w:r>
        <w:rPr>
          <w:rFonts w:ascii="Calibri" w:cs="Calibri" w:eastAsia="Calibri" w:hAnsi="Calibri"/>
          <w:b/>
          <w:bCs/>
          <w:color w:val="1A1A1A"/>
          <w:sz w:val="21"/>
          <w:szCs w:val="21"/>
        </w:rPr>
        <w:t xml:space="preserve">worse borrower outcome or a longer SLA</w:t>
      </w:r>
      <w:r>
        <w:rPr>
          <w:rFonts w:ascii="Calibri" w:cs="Calibri" w:eastAsia="Calibri" w:hAnsi="Calibri"/>
          <w:color w:val="1A1A1A"/>
          <w:sz w:val="21"/>
          <w:szCs w:val="21"/>
        </w:rPr>
        <w:t xml:space="preserve"> because it is in the studio. If the studio path is slower, the loan leaves it.</w:t>
      </w:r>
    </w:p>
    <w:p>
      <w:pPr>
        <w:pBdr>
          <w:bottom w:val="single" w:color="C9D6DC" w:sz="6" w:space="6"/>
        </w:pBdr>
        <w:spacing w:after="140" w:before="280"/>
      </w:pPr>
      <w:r>
        <w:rPr>
          <w:rFonts w:ascii="Calibri" w:cs="Calibri" w:eastAsia="Calibri" w:hAnsi="Calibri"/>
          <w:b/>
          <w:bCs/>
          <w:color w:val="1B6B7C"/>
          <w:spacing w:val="20"/>
          <w:sz w:val="20"/>
          <w:szCs w:val="20"/>
        </w:rPr>
        <w:t xml:space="preserve">THE FRAMEWORK</w:t>
      </w:r>
    </w:p>
    <w:p>
      <w:pPr>
        <w:spacing w:after="80" w:before="200"/>
      </w:pPr>
      <w:r>
        <w:rPr>
          <w:rFonts w:ascii="Calibri" w:cs="Calibri" w:eastAsia="Calibri" w:hAnsi="Calibri"/>
          <w:b/>
          <w:bCs/>
          <w:color w:val="0E3A4F"/>
          <w:sz w:val="22"/>
          <w:szCs w:val="22"/>
        </w:rPr>
        <w:t xml:space="preserve">Shadow path (Days 1–60)</w:t>
      </w:r>
    </w:p>
    <w:p>
      <w:pPr>
        <w:pStyle w:val="ListParagraph"/>
        <w:numPr>
          <w:ilvl w:val="0"/>
          <w:numId w:val="3"/>
        </w:numPr>
        <w:spacing w:after="80" w:line="276"/>
      </w:pPr>
      <w:r>
        <w:rPr>
          <w:rFonts w:ascii="Calibri" w:cs="Calibri" w:eastAsia="Calibri" w:hAnsi="Calibri"/>
          <w:color w:val="1A1A1A"/>
          <w:sz w:val="21"/>
          <w:szCs w:val="21"/>
        </w:rPr>
        <w:t xml:space="preserve">Loan matches the slice rule and is tagged to the studio cohort in the LOS at application.</w:t>
      </w:r>
    </w:p>
    <w:p>
      <w:pPr>
        <w:pStyle w:val="ListParagraph"/>
        <w:numPr>
          <w:ilvl w:val="0"/>
          <w:numId w:val="3"/>
        </w:numPr>
        <w:spacing w:after="80" w:line="276"/>
      </w:pPr>
      <w:r>
        <w:rPr>
          <w:rFonts w:ascii="Calibri" w:cs="Calibri" w:eastAsia="Calibri" w:hAnsi="Calibri"/>
          <w:color w:val="1A1A1A"/>
          <w:sz w:val="21"/>
          <w:szCs w:val="21"/>
        </w:rPr>
        <w:t xml:space="preserve">Standard workflow proceeds exactly as today — same queues, same SLAs, same system of record.</w:t>
      </w:r>
    </w:p>
    <w:p>
      <w:pPr>
        <w:pStyle w:val="ListParagraph"/>
        <w:numPr>
          <w:ilvl w:val="0"/>
          <w:numId w:val="3"/>
        </w:numPr>
        <w:spacing w:after="80" w:line="276"/>
      </w:pPr>
      <w:r>
        <w:rPr>
          <w:rFonts w:ascii="Calibri" w:cs="Calibri" w:eastAsia="Calibri" w:hAnsi="Calibri"/>
          <w:color w:val="1A1A1A"/>
          <w:sz w:val="21"/>
          <w:szCs w:val="21"/>
        </w:rPr>
        <w:t xml:space="preserve">Documents are copied to Jazz via the agreed extraction. Nothing flows back.</w:t>
      </w:r>
    </w:p>
    <w:p>
      <w:pPr>
        <w:pStyle w:val="ListParagraph"/>
        <w:numPr>
          <w:ilvl w:val="0"/>
          <w:numId w:val="3"/>
        </w:numPr>
        <w:spacing w:after="80" w:line="276"/>
      </w:pPr>
      <w:r>
        <w:rPr>
          <w:rFonts w:ascii="Calibri" w:cs="Calibri" w:eastAsia="Calibri" w:hAnsi="Calibri"/>
          <w:color w:val="1A1A1A"/>
          <w:sz w:val="21"/>
          <w:szCs w:val="21"/>
        </w:rPr>
        <w:t xml:space="preserve">The studio participant works the file and records their own view — conditions, findings, decision — </w:t>
      </w:r>
      <w:r>
        <w:rPr>
          <w:rFonts w:ascii="Calibri" w:cs="Calibri" w:eastAsia="Calibri" w:hAnsi="Calibri"/>
          <w:b/>
          <w:bCs/>
          <w:color w:val="1A1A1A"/>
          <w:sz w:val="21"/>
          <w:szCs w:val="21"/>
        </w:rPr>
        <w:t xml:space="preserve">before</w:t>
      </w:r>
      <w:r>
        <w:rPr>
          <w:rFonts w:ascii="Calibri" w:cs="Calibri" w:eastAsia="Calibri" w:hAnsi="Calibri"/>
          <w:color w:val="1A1A1A"/>
          <w:sz w:val="21"/>
          <w:szCs w:val="21"/>
        </w:rPr>
        <w:t xml:space="preserve"> opening the Jazz output.</w:t>
      </w:r>
    </w:p>
    <w:p>
      <w:pPr>
        <w:pStyle w:val="ListParagraph"/>
        <w:numPr>
          <w:ilvl w:val="0"/>
          <w:numId w:val="3"/>
        </w:numPr>
        <w:spacing w:after="80" w:line="276"/>
      </w:pPr>
      <w:r>
        <w:rPr>
          <w:rFonts w:ascii="Calibri" w:cs="Calibri" w:eastAsia="Calibri" w:hAnsi="Calibri"/>
          <w:color w:val="1A1A1A"/>
          <w:sz w:val="21"/>
          <w:szCs w:val="21"/>
        </w:rPr>
        <w:t xml:space="preserve">Participant opens the Jazz output and completes the comparison log.</w:t>
      </w:r>
    </w:p>
    <w:p>
      <w:pPr>
        <w:pStyle w:val="ListParagraph"/>
        <w:numPr>
          <w:ilvl w:val="0"/>
          <w:numId w:val="3"/>
        </w:numPr>
        <w:spacing w:after="80" w:line="276"/>
      </w:pPr>
      <w:r>
        <w:rPr>
          <w:rFonts w:ascii="Calibri" w:cs="Calibri" w:eastAsia="Calibri" w:hAnsi="Calibri"/>
          <w:color w:val="1A1A1A"/>
          <w:sz w:val="21"/>
          <w:szCs w:val="21"/>
        </w:rPr>
        <w:t xml:space="preserve">Disagreements are classified: Jazz caught something the human missed; the human caught something Jazz missed; Jazz was wrong; both agree.</w:t>
      </w:r>
    </w:p>
    <w:p>
      <w:pPr>
        <w:pStyle w:val="ListParagraph"/>
        <w:numPr>
          <w:ilvl w:val="0"/>
          <w:numId w:val="3"/>
        </w:numPr>
        <w:spacing w:after="80" w:line="276"/>
      </w:pPr>
      <w:r>
        <w:rPr>
          <w:rFonts w:ascii="Calibri" w:cs="Calibri" w:eastAsia="Calibri" w:hAnsi="Calibri"/>
          <w:color w:val="1A1A1A"/>
          <w:sz w:val="21"/>
          <w:szCs w:val="21"/>
        </w:rPr>
        <w:t xml:space="preserve">The human decision stands and is what the borrower receives. Jazz output never reaches the file or the borrower.</w:t>
      </w:r>
    </w:p>
    <w:p>
      <w:pPr>
        <w:pStyle w:val="ListParagraph"/>
        <w:numPr>
          <w:ilvl w:val="0"/>
          <w:numId w:val="3"/>
        </w:numPr>
        <w:spacing w:after="80" w:line="276"/>
      </w:pPr>
      <w:r>
        <w:rPr>
          <w:rFonts w:ascii="Calibri" w:cs="Calibri" w:eastAsia="Calibri" w:hAnsi="Calibri"/>
          <w:color w:val="1A1A1A"/>
          <w:sz w:val="21"/>
          <w:szCs w:val="21"/>
        </w:rPr>
        <w:t xml:space="preserve">Comparison entries feed the weekly loop.</w:t>
      </w:r>
    </w:p>
    <w:p>
      <w:pPr>
        <w:spacing w:after="80" w:before="200"/>
      </w:pPr>
      <w:r>
        <w:rPr>
          <w:rFonts w:ascii="Calibri" w:cs="Calibri" w:eastAsia="Calibri" w:hAnsi="Calibri"/>
          <w:b/>
          <w:bCs/>
          <w:color w:val="0E3A4F"/>
          <w:sz w:val="22"/>
          <w:szCs w:val="22"/>
        </w:rPr>
        <w:t xml:space="preserve">Limited live path (Days 61–80)</w:t>
      </w:r>
    </w:p>
    <w:p>
      <w:pPr>
        <w:pStyle w:val="ListParagraph"/>
        <w:numPr>
          <w:ilvl w:val="0"/>
          <w:numId w:val="4"/>
        </w:numPr>
        <w:spacing w:after="80" w:line="276"/>
      </w:pPr>
      <w:r>
        <w:rPr>
          <w:rFonts w:ascii="Calibri" w:cs="Calibri" w:eastAsia="Calibri" w:hAnsi="Calibri"/>
          <w:color w:val="1A1A1A"/>
          <w:sz w:val="21"/>
          <w:szCs w:val="21"/>
        </w:rPr>
        <w:t xml:space="preserve">Loan matches the narrower live sub-slice defined at G2 and is tagged.</w:t>
      </w:r>
    </w:p>
    <w:p>
      <w:pPr>
        <w:pStyle w:val="ListParagraph"/>
        <w:numPr>
          <w:ilvl w:val="0"/>
          <w:numId w:val="4"/>
        </w:numPr>
        <w:spacing w:after="80" w:line="276"/>
      </w:pPr>
      <w:r>
        <w:rPr>
          <w:rFonts w:ascii="Calibri" w:cs="Calibri" w:eastAsia="Calibri" w:hAnsi="Calibri"/>
          <w:color w:val="1A1A1A"/>
          <w:sz w:val="21"/>
          <w:szCs w:val="21"/>
        </w:rPr>
        <w:t xml:space="preserve">Jazz processes the file first; output enters the working file as a proposal, clearly labelled as system-generated.</w:t>
      </w:r>
    </w:p>
    <w:p>
      <w:pPr>
        <w:pStyle w:val="ListParagraph"/>
        <w:numPr>
          <w:ilvl w:val="0"/>
          <w:numId w:val="4"/>
        </w:numPr>
        <w:spacing w:after="80" w:line="276"/>
      </w:pPr>
      <w:r>
        <w:rPr>
          <w:rFonts w:ascii="Calibri" w:cs="Calibri" w:eastAsia="Calibri" w:hAnsi="Calibri"/>
          <w:color w:val="1A1A1A"/>
          <w:sz w:val="21"/>
          <w:szCs w:val="21"/>
        </w:rPr>
        <w:t xml:space="preserve">The underwriter reviews every Jazz output — 100% review, no sampling. Anything not affirmatively accepted does not stand.</w:t>
      </w:r>
    </w:p>
    <w:p>
      <w:pPr>
        <w:pStyle w:val="ListParagraph"/>
        <w:numPr>
          <w:ilvl w:val="0"/>
          <w:numId w:val="4"/>
        </w:numPr>
        <w:spacing w:after="80" w:line="276"/>
      </w:pPr>
      <w:r>
        <w:rPr>
          <w:rFonts w:ascii="Calibri" w:cs="Calibri" w:eastAsia="Calibri" w:hAnsi="Calibri"/>
          <w:color w:val="1A1A1A"/>
          <w:sz w:val="21"/>
          <w:szCs w:val="21"/>
        </w:rPr>
        <w:t xml:space="preserve">The underwriter accepts, edits, or rejects each item, and every rejection is captured with a reason.</w:t>
      </w:r>
    </w:p>
    <w:p>
      <w:pPr>
        <w:pStyle w:val="ListParagraph"/>
        <w:numPr>
          <w:ilvl w:val="0"/>
          <w:numId w:val="4"/>
        </w:numPr>
        <w:spacing w:after="80" w:line="276"/>
      </w:pPr>
      <w:r>
        <w:rPr>
          <w:rFonts w:ascii="Calibri" w:cs="Calibri" w:eastAsia="Calibri" w:hAnsi="Calibri"/>
          <w:color w:val="1A1A1A"/>
          <w:sz w:val="21"/>
          <w:szCs w:val="21"/>
        </w:rPr>
        <w:t xml:space="preserve">The human makes and owns the decision. Adverse-action language, if any, is human-authored and human-verified.</w:t>
      </w:r>
    </w:p>
    <w:p>
      <w:pPr>
        <w:pStyle w:val="ListParagraph"/>
        <w:numPr>
          <w:ilvl w:val="0"/>
          <w:numId w:val="4"/>
        </w:numPr>
        <w:spacing w:after="80" w:line="276"/>
      </w:pPr>
      <w:r>
        <w:rPr>
          <w:rFonts w:ascii="Calibri" w:cs="Calibri" w:eastAsia="Calibri" w:hAnsi="Calibri"/>
          <w:color w:val="1A1A1A"/>
          <w:sz w:val="21"/>
          <w:szCs w:val="21"/>
        </w:rPr>
        <w:t xml:space="preserve">The file proceeds through standard QC with the studio cohort flagged for enhanced sampling.</w:t>
      </w:r>
    </w:p>
    <w:p>
      <w:pPr>
        <w:pStyle w:val="ListParagraph"/>
        <w:numPr>
          <w:ilvl w:val="0"/>
          <w:numId w:val="4"/>
        </w:numPr>
        <w:spacing w:after="80" w:line="276"/>
      </w:pPr>
      <w:r>
        <w:rPr>
          <w:rFonts w:ascii="Calibri" w:cs="Calibri" w:eastAsia="Calibri" w:hAnsi="Calibri"/>
          <w:color w:val="1A1A1A"/>
          <w:sz w:val="21"/>
          <w:szCs w:val="21"/>
        </w:rPr>
        <w:t xml:space="preserve">Defects are triaged within one business day and severity-classified per one-pager 02.</w:t>
      </w:r>
    </w:p>
    <w:p>
      <w:pPr>
        <w:spacing w:after="80" w:before="200"/>
      </w:pPr>
      <w:r>
        <w:rPr>
          <w:rFonts w:ascii="Calibri" w:cs="Calibri" w:eastAsia="Calibri" w:hAnsi="Calibri"/>
          <w:b/>
          <w:bCs/>
          <w:color w:val="0E3A4F"/>
          <w:sz w:val="22"/>
          <w:szCs w:val="22"/>
        </w:rPr>
        <w:t xml:space="preserve">Exit triggers — the loan returns to the standard path immediately</w:t>
      </w:r>
    </w:p>
    <w:p>
      <w:pPr>
        <w:pStyle w:val="ListParagraph"/>
        <w:numPr>
          <w:ilvl w:val="0"/>
          <w:numId w:val="5"/>
        </w:numPr>
        <w:spacing w:after="80" w:line="276"/>
      </w:pPr>
      <w:r>
        <w:rPr>
          <w:rFonts w:ascii="Calibri" w:cs="Calibri" w:eastAsia="Calibri" w:hAnsi="Calibri"/>
          <w:color w:val="1A1A1A"/>
          <w:sz w:val="21"/>
          <w:szCs w:val="21"/>
        </w:rPr>
        <w:t xml:space="preserve">The file is at risk of missing an SLA or a contractual closing date</w:t>
      </w:r>
    </w:p>
    <w:p>
      <w:pPr>
        <w:pStyle w:val="ListParagraph"/>
        <w:numPr>
          <w:ilvl w:val="0"/>
          <w:numId w:val="5"/>
        </w:numPr>
        <w:spacing w:after="80" w:line="276"/>
      </w:pPr>
      <w:r>
        <w:rPr>
          <w:rFonts w:ascii="Calibri" w:cs="Calibri" w:eastAsia="Calibri" w:hAnsi="Calibri"/>
          <w:color w:val="1A1A1A"/>
          <w:sz w:val="21"/>
          <w:szCs w:val="21"/>
        </w:rPr>
        <w:t xml:space="preserve">The borrower complains, or a borrower-facing issue arises from the studio path</w:t>
      </w:r>
    </w:p>
    <w:p>
      <w:pPr>
        <w:pStyle w:val="ListParagraph"/>
        <w:numPr>
          <w:ilvl w:val="0"/>
          <w:numId w:val="5"/>
        </w:numPr>
        <w:spacing w:after="80" w:line="276"/>
      </w:pPr>
      <w:r>
        <w:rPr>
          <w:rFonts w:ascii="Calibri" w:cs="Calibri" w:eastAsia="Calibri" w:hAnsi="Calibri"/>
          <w:color w:val="1A1A1A"/>
          <w:sz w:val="21"/>
          <w:szCs w:val="21"/>
        </w:rPr>
        <w:t xml:space="preserve">Jazz is unavailable or its output is materially wrong on that file</w:t>
      </w:r>
    </w:p>
    <w:p>
      <w:pPr>
        <w:pStyle w:val="ListParagraph"/>
        <w:numPr>
          <w:ilvl w:val="0"/>
          <w:numId w:val="5"/>
        </w:numPr>
        <w:spacing w:after="80" w:line="276"/>
      </w:pPr>
      <w:r>
        <w:rPr>
          <w:rFonts w:ascii="Calibri" w:cs="Calibri" w:eastAsia="Calibri" w:hAnsi="Calibri"/>
          <w:color w:val="1A1A1A"/>
          <w:sz w:val="21"/>
          <w:szCs w:val="21"/>
        </w:rPr>
        <w:t xml:space="preserve">The file moves outside the slice definition (product change, income type change, state change)</w:t>
      </w:r>
    </w:p>
    <w:p>
      <w:pPr>
        <w:pStyle w:val="ListParagraph"/>
        <w:numPr>
          <w:ilvl w:val="0"/>
          <w:numId w:val="5"/>
        </w:numPr>
        <w:spacing w:after="80" w:line="276"/>
      </w:pPr>
      <w:r>
        <w:rPr>
          <w:rFonts w:ascii="Calibri" w:cs="Calibri" w:eastAsia="Calibri" w:hAnsi="Calibri"/>
          <w:color w:val="1A1A1A"/>
          <w:sz w:val="21"/>
          <w:szCs w:val="21"/>
        </w:rPr>
        <w:t xml:space="preserve">The underwriter judges the studio path is not serving the borrower — no justification required, and the judgement is never questioned</w:t>
      </w:r>
    </w:p>
    <w:p>
      <w:pPr>
        <w:pStyle w:val="ListParagraph"/>
        <w:numPr>
          <w:ilvl w:val="0"/>
          <w:numId w:val="5"/>
        </w:numPr>
        <w:spacing w:after="80" w:line="276"/>
      </w:pPr>
      <w:r>
        <w:rPr>
          <w:rFonts w:ascii="Calibri" w:cs="Calibri" w:eastAsia="Calibri" w:hAnsi="Calibri"/>
          <w:color w:val="1A1A1A"/>
          <w:sz w:val="21"/>
          <w:szCs w:val="21"/>
        </w:rPr>
        <w:t xml:space="preserve">Any Sev 1 event anywhere in the studio pauses the whole cohort by default</w:t>
      </w:r>
    </w:p>
    <w:p>
      <w:pPr>
        <w:pBdr>
          <w:bottom w:val="single" w:color="C9D6DC" w:sz="6" w:space="6"/>
        </w:pBdr>
        <w:spacing w:after="140" w:before="280"/>
      </w:pPr>
      <w:r>
        <w:rPr>
          <w:rFonts w:ascii="Calibri" w:cs="Calibri" w:eastAsia="Calibri" w:hAnsi="Calibri"/>
          <w:b/>
          <w:bCs/>
          <w:color w:val="1B6B7C"/>
          <w:spacing w:val="20"/>
          <w:sz w:val="20"/>
          <w:szCs w:val="20"/>
        </w:rPr>
        <w:t xml:space="preserve">ARTIFACTS &amp; TEMPLATES</w:t>
      </w:r>
    </w:p>
    <w:p>
      <w:pPr>
        <w:spacing w:after="80" w:before="200"/>
      </w:pPr>
      <w:r>
        <w:rPr>
          <w:rFonts w:ascii="Calibri" w:cs="Calibri" w:eastAsia="Calibri" w:hAnsi="Calibri"/>
          <w:b/>
          <w:bCs/>
          <w:color w:val="0E3A4F"/>
          <w:sz w:val="22"/>
          <w:szCs w:val="22"/>
        </w:rPr>
        <w:t xml:space="preserve">What changes and what does not</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995"/>
        <w:gridCol w:w="3182"/>
        <w:gridCol w:w="3183"/>
      </w:tblGrid>
      <w:tr>
        <w:trPr>
          <w:tblHeader/>
        </w:trPr>
        <w:tc>
          <w:tcPr>
            <w:tcW w:type="dxa" w:w="2995"/>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Element</w:t>
            </w:r>
          </w:p>
        </w:tc>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Shadow (1–60)</w:t>
            </w:r>
          </w:p>
        </w:tc>
        <w:tc>
          <w:tcPr>
            <w:tcW w:type="dxa" w:w="3183"/>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Limited live (61–80)</w:t>
            </w:r>
          </w:p>
        </w:tc>
      </w:tr>
      <w:tr>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System of record</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Unchanged — LOS</w:t>
            </w:r>
          </w:p>
        </w:tc>
        <w:tc>
          <w:tcPr>
            <w:tcW w:type="dxa" w:w="318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Unchanged — LOS</w:t>
            </w:r>
          </w:p>
        </w:tc>
      </w:tr>
      <w:tr>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Who decides</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Human only</w:t>
            </w:r>
          </w:p>
        </w:tc>
        <w:tc>
          <w:tcPr>
            <w:tcW w:type="dxa" w:w="318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Human only</w:t>
            </w:r>
          </w:p>
        </w:tc>
      </w:tr>
      <w:tr>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 output in the file</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Never</w:t>
            </w:r>
          </w:p>
        </w:tc>
        <w:tc>
          <w:tcPr>
            <w:tcW w:type="dxa" w:w="318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Yes, as a labelled proposal</w:t>
            </w:r>
          </w:p>
        </w:tc>
      </w:tr>
      <w:tr>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Borrower experience</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Identical to standard</w:t>
            </w:r>
          </w:p>
        </w:tc>
        <w:tc>
          <w:tcPr>
            <w:tcW w:type="dxa" w:w="318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Identical to standard</w:t>
            </w:r>
          </w:p>
        </w:tc>
      </w:tr>
      <w:tr>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SLA</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Standard</w:t>
            </w:r>
          </w:p>
        </w:tc>
        <w:tc>
          <w:tcPr>
            <w:tcW w:type="dxa" w:w="318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Standard</w:t>
            </w:r>
          </w:p>
        </w:tc>
      </w:tr>
      <w:tr>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Added work</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Comparison log (the parallel-run tax)</w:t>
            </w:r>
          </w:p>
        </w:tc>
        <w:tc>
          <w:tcPr>
            <w:tcW w:type="dxa" w:w="318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Review and reason capture</w:t>
            </w:r>
          </w:p>
        </w:tc>
      </w:tr>
      <w:tr>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QC treatment</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Standard</w:t>
            </w:r>
          </w:p>
        </w:tc>
        <w:tc>
          <w:tcPr>
            <w:tcW w:type="dxa" w:w="318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Enhanced sampling on the cohort</w:t>
            </w:r>
          </w:p>
        </w:tc>
      </w:tr>
      <w:tr>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Human review coverage</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n/a — human does all work</w:t>
            </w:r>
          </w:p>
        </w:tc>
        <w:tc>
          <w:tcPr>
            <w:tcW w:type="dxa" w:w="318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100%, no sampling</w:t>
            </w:r>
          </w:p>
        </w:tc>
      </w:tr>
    </w:tbl>
    <w:p>
      <w:pPr>
        <w:spacing w:after="160"/>
      </w:pPr>
    </w:p>
    <w:p>
      <w:pPr>
        <w:spacing w:after="80" w:before="200"/>
      </w:pPr>
      <w:r>
        <w:rPr>
          <w:rFonts w:ascii="Calibri" w:cs="Calibri" w:eastAsia="Calibri" w:hAnsi="Calibri"/>
          <w:b/>
          <w:bCs/>
          <w:color w:val="0E3A4F"/>
          <w:sz w:val="22"/>
          <w:szCs w:val="22"/>
        </w:rPr>
        <w:t xml:space="preserve">Comparison log — the studio's primary data artifact</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369"/>
        <w:gridCol w:w="5991"/>
      </w:tblGrid>
      <w:tr>
        <w:trPr>
          <w:tblHeader/>
        </w:trPr>
        <w:tc>
          <w:tcPr>
            <w:tcW w:type="dxa" w:w="336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Field</w:t>
            </w:r>
          </w:p>
        </w:tc>
        <w:tc>
          <w:tcPr>
            <w:tcW w:type="dxa" w:w="5991"/>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Captured</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Loan ID and cohort tag</w:t>
            </w:r>
          </w:p>
        </w:tc>
        <w:tc>
          <w:tcPr>
            <w:tcW w:type="dxa" w:w="599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Automatic</w:t>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Participant and date</w:t>
            </w:r>
          </w:p>
        </w:tc>
        <w:tc>
          <w:tcPr>
            <w:tcW w:type="dxa" w:w="599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Automatic</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Human view recorded at</w:t>
            </w:r>
          </w:p>
        </w:tc>
        <w:tc>
          <w:tcPr>
            <w:tcW w:type="dxa" w:w="599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Timestamp — proves human-first sequencing</w:t>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 output opened at</w:t>
            </w:r>
          </w:p>
        </w:tc>
        <w:tc>
          <w:tcPr>
            <w:tcW w:type="dxa" w:w="599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Timestamp — proves human-first sequencing</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Documents: correct / incorrect by type</w:t>
            </w:r>
          </w:p>
        </w:tc>
        <w:tc>
          <w:tcPr>
            <w:tcW w:type="dxa" w:w="599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Participant</w:t>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Fields: correct / incorrect, materiality flag</w:t>
            </w:r>
          </w:p>
        </w:tc>
        <w:tc>
          <w:tcPr>
            <w:tcW w:type="dxa" w:w="599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Participant</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Conditions Jazz raised that were warranted</w:t>
            </w:r>
          </w:p>
        </w:tc>
        <w:tc>
          <w:tcPr>
            <w:tcW w:type="dxa" w:w="599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Participant</w:t>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Warranted conditions Jazz missed</w:t>
            </w:r>
          </w:p>
        </w:tc>
        <w:tc>
          <w:tcPr>
            <w:tcW w:type="dxa" w:w="599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Participant — feeds recall and false clear rate</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Conditions Jazz raised that were unwarranted</w:t>
            </w:r>
          </w:p>
        </w:tc>
        <w:tc>
          <w:tcPr>
            <w:tcW w:type="dxa" w:w="599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Participant</w:t>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Human touch time on the file</w:t>
            </w:r>
          </w:p>
        </w:tc>
        <w:tc>
          <w:tcPr>
            <w:tcW w:type="dxa" w:w="599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Participant</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Review overhead minutes</w:t>
            </w:r>
          </w:p>
        </w:tc>
        <w:tc>
          <w:tcPr>
            <w:tcW w:type="dxa" w:w="599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Participant — the new cost</w:t>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Free-text observation</w:t>
            </w:r>
          </w:p>
        </w:tc>
        <w:tc>
          <w:tcPr>
            <w:tcW w:type="dxa" w:w="599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Participant — often the most valuable field</w:t>
            </w:r>
          </w:p>
        </w:tc>
      </w:tr>
    </w:tbl>
    <w:p>
      <w:pPr>
        <w:spacing w:after="160" w:before="80"/>
      </w:pPr>
      <w:r>
        <w:rPr>
          <w:rFonts w:ascii="Calibri" w:cs="Calibri" w:eastAsia="Calibri" w:hAnsi="Calibri"/>
          <w:i/>
          <w:iCs/>
          <w:color w:val="5A6B73"/>
          <w:sz w:val="18"/>
          <w:szCs w:val="18"/>
        </w:rPr>
        <w:t xml:space="preserve">The two timestamps are what let you prove at G4 that anchoring did not contaminate the comparison.</w:t>
      </w:r>
    </w:p>
    <w:p>
      <w:pPr>
        <w:pBdr>
          <w:bottom w:val="single" w:color="C9D6DC" w:sz="6" w:space="6"/>
        </w:pBdr>
        <w:spacing w:after="140" w:before="280"/>
      </w:pPr>
      <w:r>
        <w:rPr>
          <w:rFonts w:ascii="Calibri" w:cs="Calibri" w:eastAsia="Calibri" w:hAnsi="Calibri"/>
          <w:b/>
          <w:bCs/>
          <w:color w:val="1B6B7C"/>
          <w:spacing w:val="20"/>
          <w:sz w:val="20"/>
          <w:szCs w:val="20"/>
        </w:rPr>
        <w:t xml:space="preserve">CADENCE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059"/>
        <w:gridCol w:w="4492"/>
        <w:gridCol w:w="2809"/>
      </w:tblGrid>
      <w:tr>
        <w:trPr>
          <w:tblHeader/>
        </w:trPr>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When</w:t>
            </w:r>
          </w:p>
        </w:tc>
        <w:tc>
          <w:tcPr>
            <w:tcW w:type="dxa" w:w="449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What happens</w:t>
            </w:r>
          </w:p>
        </w:tc>
        <w:tc>
          <w:tcPr>
            <w:tcW w:type="dxa" w:w="280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Output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Per loan</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Comparison log completed at decision</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Comparison entry</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Daily (Weeks 1–4)</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Debrief on process friction</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Process adjustments</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Weekly</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Completion rate and sequencing spot-check</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quality confirmation</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Before G2</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Live path designed, walked through, and dry-run on test files</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Live process signed off</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Days 61–80</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Daily defect triage</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Defect log</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DEFINITION OF DONE</w:t>
      </w:r>
    </w:p>
    <w:p>
      <w:pPr>
        <w:pStyle w:val="ListParagraph"/>
        <w:numPr>
          <w:ilvl w:val="0"/>
          <w:numId w:val="5"/>
        </w:numPr>
        <w:spacing w:after="80" w:line="276"/>
      </w:pPr>
      <w:r>
        <w:rPr>
          <w:rFonts w:ascii="Calibri" w:cs="Calibri" w:eastAsia="Calibri" w:hAnsi="Calibri"/>
          <w:color w:val="1A1A1A"/>
          <w:sz w:val="21"/>
          <w:szCs w:val="21"/>
        </w:rPr>
        <w:t xml:space="preserve">Both paths documented and walked through with participants before use</w:t>
      </w:r>
    </w:p>
    <w:p>
      <w:pPr>
        <w:pStyle w:val="ListParagraph"/>
        <w:numPr>
          <w:ilvl w:val="0"/>
          <w:numId w:val="5"/>
        </w:numPr>
        <w:spacing w:after="80" w:line="276"/>
      </w:pPr>
      <w:r>
        <w:rPr>
          <w:rFonts w:ascii="Calibri" w:cs="Calibri" w:eastAsia="Calibri" w:hAnsi="Calibri"/>
          <w:color w:val="1A1A1A"/>
          <w:sz w:val="21"/>
          <w:szCs w:val="21"/>
        </w:rPr>
        <w:t xml:space="preserve">Cohort tagging working and reconciled weekly against the slice rule</w:t>
      </w:r>
    </w:p>
    <w:p>
      <w:pPr>
        <w:pStyle w:val="ListParagraph"/>
        <w:numPr>
          <w:ilvl w:val="0"/>
          <w:numId w:val="5"/>
        </w:numPr>
        <w:spacing w:after="80" w:line="276"/>
      </w:pPr>
      <w:r>
        <w:rPr>
          <w:rFonts w:ascii="Calibri" w:cs="Calibri" w:eastAsia="Calibri" w:hAnsi="Calibri"/>
          <w:color w:val="1A1A1A"/>
          <w:sz w:val="21"/>
          <w:szCs w:val="21"/>
        </w:rPr>
        <w:t xml:space="preserve">Human-first sequencing evidenced by timestamps, not assertion</w:t>
      </w:r>
    </w:p>
    <w:p>
      <w:pPr>
        <w:pStyle w:val="ListParagraph"/>
        <w:numPr>
          <w:ilvl w:val="0"/>
          <w:numId w:val="5"/>
        </w:numPr>
        <w:spacing w:after="80" w:line="276"/>
      </w:pPr>
      <w:r>
        <w:rPr>
          <w:rFonts w:ascii="Calibri" w:cs="Calibri" w:eastAsia="Calibri" w:hAnsi="Calibri"/>
          <w:color w:val="1A1A1A"/>
          <w:sz w:val="21"/>
          <w:szCs w:val="21"/>
        </w:rPr>
        <w:t xml:space="preserve">Every exit recorded with its trigger</w:t>
      </w:r>
    </w:p>
    <w:p>
      <w:pPr>
        <w:pStyle w:val="ListParagraph"/>
        <w:numPr>
          <w:ilvl w:val="0"/>
          <w:numId w:val="5"/>
        </w:numPr>
        <w:spacing w:after="80" w:line="276"/>
      </w:pPr>
      <w:r>
        <w:rPr>
          <w:rFonts w:ascii="Calibri" w:cs="Calibri" w:eastAsia="Calibri" w:hAnsi="Calibri"/>
          <w:color w:val="1A1A1A"/>
          <w:sz w:val="21"/>
          <w:szCs w:val="21"/>
        </w:rPr>
        <w:t xml:space="preserve">No borrower disadvantaged by studio participation — verified at G3</w:t>
      </w:r>
    </w:p>
    <w:p>
      <w:pPr>
        <w:pBdr>
          <w:bottom w:val="single" w:color="C9D6DC" w:sz="6" w:space="6"/>
        </w:pBdr>
        <w:spacing w:after="140" w:before="280"/>
      </w:pPr>
      <w:r>
        <w:rPr>
          <w:rFonts w:ascii="Calibri" w:cs="Calibri" w:eastAsia="Calibri" w:hAnsi="Calibri"/>
          <w:b/>
          <w:bCs/>
          <w:color w:val="1B6B7C"/>
          <w:spacing w:val="20"/>
          <w:sz w:val="20"/>
          <w:szCs w:val="20"/>
        </w:rPr>
        <w:t xml:space="preserve">RISKS &amp; ESCALATION</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808"/>
        <w:gridCol w:w="4212"/>
        <w:gridCol w:w="2340"/>
      </w:tblGrid>
      <w:tr>
        <w:trPr>
          <w:tblHeader/>
        </w:trPr>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Risk</w:t>
            </w:r>
          </w:p>
        </w:tc>
        <w:tc>
          <w:tcPr>
            <w:tcW w:type="dxa" w:w="421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Mitigation</w:t>
            </w:r>
          </w:p>
        </w:tc>
        <w:tc>
          <w:tcPr>
            <w:tcW w:type="dxa" w:w="234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Escalates to</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Anchoring — participants look at Jazz first when busy</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Timestamp enforcement plus weekly spot-checks; contaminated entries excluded and counted</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Comparison log skipped under pipeline pressure</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Completion rate monitored weekly; capacity relief is the real fix</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Underwriting</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Loans exit the studio silently, biasing the sample toward easy files</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Exits recorded with reason and reported at every gate as a sample-integrity measure</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studio loan receives worse service</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Exit triggers err heavily toward leaving the studio; underwriter judgement is final</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Operations</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Live path improvised because G2 arrived faster than the design</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Live path designed by Day 50 and dry-run before G2</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C" w:sz="4" w:space="6"/>
      </w:pBdr>
    </w:pPr>
    <w:r>
      <w:rPr>
        <w:rFonts w:ascii="Calibri" w:cs="Calibri" w:eastAsia="Calibri" w:hAnsi="Calibri"/>
        <w:color w:val="5A6B73"/>
        <w:sz w:val="16"/>
        <w:szCs w:val="16"/>
      </w:rPr>
      <w:t xml:space="preserve">JazzX Design Studio — 90-Day Framework  │  Design Studio Process vs. Current Workflow   </w:t>
    </w:r>
    <w:r>
      <w:rPr>
        <w:rFonts w:ascii="Calibri" w:cs="Calibri" w:eastAsia="Calibri" w:hAnsi="Calibri"/>
        <w:color w:val="5A6B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color w:val="1B6B7C"/>
        <w:sz w:val="21"/>
        <w:szCs w:val="21"/>
      </w:rPr>
    </w:lvl>
    <w:lvl w:ilvl="1" w15:tentative="1">
      <w:start w:val="1"/>
      <w:numFmt w:val="bullet"/>
      <w:lvlText w:val="○"/>
      <w:lvlJc w:val="left"/>
      <w:pPr>
        <w:ind w:left="763" w:hanging="259"/>
      </w:pPr>
      <w:rPr>
        <w:color w:val="5A6B73"/>
        <w:sz w:val="21"/>
        <w:szCs w:val="21"/>
      </w:rPr>
    </w:lvl>
    <w:lvl w:ilvl="2" w15:tentative="1">
      <w:start w:val="1"/>
      <w:numFmt w:val="bullet"/>
      <w:lvlText w:val="▪"/>
      <w:lvlJc w:val="left"/>
      <w:pPr>
        <w:ind w:left="1123" w:hanging="259"/>
      </w:pPr>
      <w:rPr>
        <w:color w:val="5A6B73"/>
        <w:sz w:val="21"/>
        <w:szCs w:val="21"/>
      </w:rPr>
    </w:lvl>
  </w:abstractNum>
  <w:abstractNum w:abstractNumId="3" w15:restartNumberingAfterBreak="0">
    <w:multiLevelType w:val="hybridMultilevel"/>
    <w:lvl w:ilvl="0" w15:tentative="1">
      <w:start w:val="1"/>
      <w:numFmt w:val="decimal"/>
      <w:lvlText w:val="%1."/>
      <w:lvlJc w:val="left"/>
      <w:pPr>
        <w:ind w:left="460" w:hanging="316"/>
      </w:pPr>
      <w:rPr>
        <w:b/>
        <w:bCs/>
        <w:color w:val="1B6B7C"/>
        <w:sz w:val="21"/>
        <w:szCs w:val="21"/>
      </w:rPr>
    </w:lvl>
    <w:lvl w:ilvl="1" w15:tentative="1">
      <w:start w:val="1"/>
      <w:numFmt w:val="lowerLetter"/>
      <w:lvlText w:val="%2."/>
      <w:lvlJc w:val="left"/>
      <w:pPr>
        <w:ind w:left="835" w:hanging="316"/>
      </w:pPr>
      <w:rPr>
        <w:color w:val="5A6B73"/>
        <w:sz w:val="21"/>
        <w:szCs w:val="21"/>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Studio Process vs. Current Workflow</dc:title>
  <dc:creator>Design Studio Program Office</dc:creator>
  <dc:description>The parallel path: what changes, what does not, and when a loan leaves the studio.</dc:description>
  <cp:lastModifiedBy>Un-named</cp:lastModifiedBy>
  <cp:revision>1</cp:revision>
  <dcterms:created xsi:type="dcterms:W3CDTF">2026-08-04T00:16:04.964Z</dcterms:created>
  <dcterms:modified xsi:type="dcterms:W3CDTF">2026-08-04T00:16:04.964Z</dcterms:modified>
</cp:coreProperties>
</file>

<file path=docProps/custom.xml><?xml version="1.0" encoding="utf-8"?>
<Properties xmlns="http://schemas.openxmlformats.org/officeDocument/2006/custom-properties" xmlns:vt="http://schemas.openxmlformats.org/officeDocument/2006/docPropsVTypes"/>
</file>