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TUNE IN JAZZ  │  ONE-PAGER 14</w:t>
      </w:r>
    </w:p>
    <w:p>
      <w:pPr>
        <w:spacing w:after="60"/>
      </w:pPr>
      <w:r>
        <w:rPr>
          <w:rFonts w:ascii="Calibri" w:cs="Calibri" w:eastAsia="Calibri" w:hAnsi="Calibri"/>
          <w:b/>
          <w:bCs/>
          <w:color w:val="0E3A4F"/>
          <w:sz w:val="40"/>
          <w:szCs w:val="40"/>
        </w:rPr>
        <w:t xml:space="preserve">Tune in Jazz</w:t>
      </w:r>
    </w:p>
    <w:p>
      <w:pPr>
        <w:pBdr>
          <w:bottom w:val="single" w:color="1B6B7C" w:sz="12" w:space="8"/>
        </w:pBdr>
        <w:spacing w:after="200"/>
      </w:pPr>
      <w:r>
        <w:rPr>
          <w:rFonts w:ascii="Calibri" w:cs="Calibri" w:eastAsia="Calibri" w:hAnsi="Calibri"/>
          <w:i/>
          <w:iCs/>
          <w:color w:val="5A6B73"/>
          <w:sz w:val="21"/>
          <w:szCs w:val="21"/>
        </w:rPr>
        <w:t xml:space="preserve">The improvement engine: change, evidence, and capability transfer.</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how the studio makes Jazz better during the 90 days, how each improvement is evidenced, and how the capability to keep improving transfers to your team rather than staying with the vendor. This is the umbrella for one-pagers 15 through 18. Tuning is where a studio either compounds or plateaus.</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tuning program</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engagement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delivers changes, enables the team</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underwriter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owns whether an output is correct</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measures whether a change worked</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liaison</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reviews changes affecting borrower-facing outcomes</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Tuning starts at </w:t>
      </w:r>
      <w:r>
        <w:rPr>
          <w:rFonts w:ascii="Calibri" w:cs="Calibri" w:eastAsia="Calibri" w:hAnsi="Calibri"/>
          <w:b/>
          <w:bCs/>
          <w:color w:val="1A1A1A"/>
          <w:sz w:val="21"/>
          <w:szCs w:val="21"/>
        </w:rPr>
        <w:t xml:space="preserve">Day 15</w:t>
      </w:r>
      <w:r>
        <w:rPr>
          <w:rFonts w:ascii="Calibri" w:cs="Calibri" w:eastAsia="Calibri" w:hAnsi="Calibri"/>
          <w:color w:val="1A1A1A"/>
          <w:sz w:val="21"/>
          <w:szCs w:val="21"/>
        </w:rPr>
        <w:t xml:space="preserve">, after observation, and is driven by the ranked friction list and the comparison log — not by whatever is easiest to change.</w:t>
      </w:r>
    </w:p>
    <w:p>
      <w:pPr>
        <w:pStyle w:val="ListParagraph"/>
        <w:numPr>
          <w:ilvl w:val="0"/>
          <w:numId w:val="2"/>
        </w:numPr>
        <w:spacing w:after="80" w:line="276"/>
      </w:pPr>
      <w:r>
        <w:rPr>
          <w:rFonts w:ascii="Calibri" w:cs="Calibri" w:eastAsia="Calibri" w:hAnsi="Calibri"/>
          <w:color w:val="1A1A1A"/>
          <w:sz w:val="21"/>
          <w:szCs w:val="21"/>
        </w:rPr>
        <w:t xml:space="preserve">Every change is </w:t>
      </w:r>
      <w:r>
        <w:rPr>
          <w:rFonts w:ascii="Calibri" w:cs="Calibri" w:eastAsia="Calibri" w:hAnsi="Calibri"/>
          <w:b/>
          <w:bCs/>
          <w:color w:val="1A1A1A"/>
          <w:sz w:val="21"/>
          <w:szCs w:val="21"/>
        </w:rPr>
        <w:t xml:space="preserve">logged with a before-and-after measurement.</w:t>
      </w:r>
      <w:r>
        <w:rPr>
          <w:rFonts w:ascii="Calibri" w:cs="Calibri" w:eastAsia="Calibri" w:hAnsi="Calibri"/>
          <w:color w:val="1A1A1A"/>
          <w:sz w:val="21"/>
          <w:szCs w:val="21"/>
        </w:rPr>
        <w:t xml:space="preserve"> An unmeasured change is not an improvement, it is a modification.</w:t>
      </w:r>
    </w:p>
    <w:p>
      <w:pPr>
        <w:pStyle w:val="ListParagraph"/>
        <w:numPr>
          <w:ilvl w:val="0"/>
          <w:numId w:val="2"/>
        </w:numPr>
        <w:spacing w:after="80" w:line="276"/>
      </w:pPr>
      <w:r>
        <w:rPr>
          <w:rFonts w:ascii="Calibri" w:cs="Calibri" w:eastAsia="Calibri" w:hAnsi="Calibri"/>
          <w:color w:val="1A1A1A"/>
          <w:sz w:val="21"/>
          <w:szCs w:val="21"/>
        </w:rPr>
        <w:t xml:space="preserve">Changes ship in a </w:t>
      </w:r>
      <w:r>
        <w:rPr>
          <w:rFonts w:ascii="Calibri" w:cs="Calibri" w:eastAsia="Calibri" w:hAnsi="Calibri"/>
          <w:b/>
          <w:bCs/>
          <w:color w:val="1A1A1A"/>
          <w:sz w:val="21"/>
          <w:szCs w:val="21"/>
        </w:rPr>
        <w:t xml:space="preserve">weekly cycle</w:t>
      </w:r>
      <w:r>
        <w:rPr>
          <w:rFonts w:ascii="Calibri" w:cs="Calibri" w:eastAsia="Calibri" w:hAnsi="Calibri"/>
          <w:color w:val="1A1A1A"/>
          <w:sz w:val="21"/>
          <w:szCs w:val="21"/>
        </w:rPr>
        <w:t xml:space="preserve"> with a defined cut-off, so the accuracy measurement always refers to a known configuration.</w:t>
      </w:r>
    </w:p>
    <w:p>
      <w:pPr>
        <w:pStyle w:val="ListParagraph"/>
        <w:numPr>
          <w:ilvl w:val="0"/>
          <w:numId w:val="2"/>
        </w:numPr>
        <w:spacing w:after="80" w:line="276"/>
      </w:pPr>
      <w:r>
        <w:rPr>
          <w:rFonts w:ascii="Calibri" w:cs="Calibri" w:eastAsia="Calibri" w:hAnsi="Calibri"/>
          <w:color w:val="1A1A1A"/>
          <w:sz w:val="21"/>
          <w:szCs w:val="21"/>
        </w:rPr>
        <w:t xml:space="preserve">Our team is </w:t>
      </w:r>
      <w:r>
        <w:rPr>
          <w:rFonts w:ascii="Calibri" w:cs="Calibri" w:eastAsia="Calibri" w:hAnsi="Calibri"/>
          <w:b/>
          <w:bCs/>
          <w:color w:val="1A1A1A"/>
          <w:sz w:val="21"/>
          <w:szCs w:val="21"/>
        </w:rPr>
        <w:t xml:space="preserve">in the tuning seat by Day 45</w:t>
      </w:r>
      <w:r>
        <w:rPr>
          <w:rFonts w:ascii="Calibri" w:cs="Calibri" w:eastAsia="Calibri" w:hAnsi="Calibri"/>
          <w:color w:val="1A1A1A"/>
          <w:sz w:val="21"/>
          <w:szCs w:val="21"/>
        </w:rPr>
        <w:t xml:space="preserve">, with JazzX supporting rather than performing. Capability transfer is a tracked deliverable.</w:t>
      </w:r>
    </w:p>
    <w:p>
      <w:pPr>
        <w:pStyle w:val="ListParagraph"/>
        <w:numPr>
          <w:ilvl w:val="0"/>
          <w:numId w:val="2"/>
        </w:numPr>
        <w:spacing w:after="80" w:line="276"/>
      </w:pPr>
      <w:r>
        <w:rPr>
          <w:rFonts w:ascii="Calibri" w:cs="Calibri" w:eastAsia="Calibri" w:hAnsi="Calibri"/>
          <w:color w:val="1A1A1A"/>
          <w:sz w:val="21"/>
          <w:szCs w:val="21"/>
        </w:rPr>
        <w:t xml:space="preserve">Any change affecting a borrower-facing outcome requires </w:t>
      </w:r>
      <w:r>
        <w:rPr>
          <w:rFonts w:ascii="Calibri" w:cs="Calibri" w:eastAsia="Calibri" w:hAnsi="Calibri"/>
          <w:b/>
          <w:bCs/>
          <w:color w:val="1A1A1A"/>
          <w:sz w:val="21"/>
          <w:szCs w:val="21"/>
        </w:rPr>
        <w:t xml:space="preserve">Compliance review before it ships.</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The four components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995"/>
        <w:gridCol w:w="1497"/>
        <w:gridCol w:w="4868"/>
      </w:tblGrid>
      <w:tr>
        <w:trPr>
          <w:tblHeader/>
        </w:trPr>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Component</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Detail in</w:t>
            </w:r>
          </w:p>
        </w:tc>
        <w:tc>
          <w:tcPr>
            <w:tcW w:type="dxa" w:w="486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The one thing that matters</w:t>
            </w:r>
          </w:p>
        </w:tc>
      </w:tr>
      <w:tr>
        <w:tc>
          <w:tcPr>
            <w:tcW w:type="dxa" w:w="299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Refining prompts, conditions, document recognition</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15</w:t>
            </w:r>
          </w:p>
        </w:tc>
        <w:tc>
          <w:tcPr>
            <w:tcW w:type="dxa" w:w="486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one thing at a time, or you cannot attribute the result</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Documenting improvement</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16</w:t>
            </w:r>
          </w:p>
        </w:tc>
        <w:tc>
          <w:tcPr>
            <w:tcW w:type="dxa" w:w="486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Before-and-after on the same loans, or it is an anecdote</w:t>
            </w:r>
          </w:p>
        </w:tc>
      </w:tr>
      <w:tr>
        <w:tc>
          <w:tcPr>
            <w:tcW w:type="dxa" w:w="299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Next technology changes</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17</w:t>
            </w:r>
          </w:p>
        </w:tc>
        <w:tc>
          <w:tcPr>
            <w:tcW w:type="dxa" w:w="486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Separate what tuning can fix from what needs building</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Builder Studio &amp; Knowledge Nuggets</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18</w:t>
            </w:r>
          </w:p>
        </w:tc>
        <w:tc>
          <w:tcPr>
            <w:tcW w:type="dxa" w:w="486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If only JazzX can change it, you have bought a service, not a capability</w:t>
            </w:r>
          </w:p>
        </w:tc>
      </w:tr>
    </w:tbl>
    <w:p>
      <w:pPr>
        <w:spacing w:after="160"/>
      </w:pPr>
    </w:p>
    <w:p>
      <w:pPr>
        <w:spacing w:after="80" w:before="200"/>
      </w:pPr>
      <w:r>
        <w:rPr>
          <w:rFonts w:ascii="Calibri" w:cs="Calibri" w:eastAsia="Calibri" w:hAnsi="Calibri"/>
          <w:b/>
          <w:bCs/>
          <w:color w:val="0E3A4F"/>
          <w:sz w:val="22"/>
          <w:szCs w:val="22"/>
        </w:rPr>
        <w:t xml:space="preserve">The weekly tuning cycle</w:t>
      </w:r>
    </w:p>
    <w:p>
      <w:pPr>
        <w:pStyle w:val="ListParagraph"/>
        <w:numPr>
          <w:ilvl w:val="0"/>
          <w:numId w:val="3"/>
        </w:numPr>
        <w:spacing w:after="80" w:line="276"/>
      </w:pPr>
      <w:r>
        <w:rPr>
          <w:rFonts w:ascii="Calibri" w:cs="Calibri" w:eastAsia="Calibri" w:hAnsi="Calibri"/>
          <w:b/>
          <w:bCs/>
          <w:color w:val="1A1A1A"/>
          <w:sz w:val="21"/>
          <w:szCs w:val="21"/>
        </w:rPr>
        <w:t xml:space="preserve">Monday</w:t>
      </w:r>
      <w:r>
        <w:rPr>
          <w:rFonts w:ascii="Calibri" w:cs="Calibri" w:eastAsia="Calibri" w:hAnsi="Calibri"/>
          <w:color w:val="1A1A1A"/>
          <w:sz w:val="21"/>
          <w:szCs w:val="21"/>
        </w:rPr>
        <w:t xml:space="preserve"> — backlog reviewed; the week's changes selected and scoped.</w:t>
      </w:r>
    </w:p>
    <w:p>
      <w:pPr>
        <w:pStyle w:val="ListParagraph"/>
        <w:numPr>
          <w:ilvl w:val="0"/>
          <w:numId w:val="3"/>
        </w:numPr>
        <w:spacing w:after="80" w:line="276"/>
      </w:pPr>
      <w:r>
        <w:rPr>
          <w:rFonts w:ascii="Calibri" w:cs="Calibri" w:eastAsia="Calibri" w:hAnsi="Calibri"/>
          <w:b/>
          <w:bCs/>
          <w:color w:val="1A1A1A"/>
          <w:sz w:val="21"/>
          <w:szCs w:val="21"/>
        </w:rPr>
        <w:t xml:space="preserve">Tuesday–Wednesday</w:t>
      </w:r>
      <w:r>
        <w:rPr>
          <w:rFonts w:ascii="Calibri" w:cs="Calibri" w:eastAsia="Calibri" w:hAnsi="Calibri"/>
          <w:color w:val="1A1A1A"/>
          <w:sz w:val="21"/>
          <w:szCs w:val="21"/>
        </w:rPr>
        <w:t xml:space="preserve"> — changes built and tested against a held-back regression set of previously correct loans.</w:t>
      </w:r>
    </w:p>
    <w:p>
      <w:pPr>
        <w:pStyle w:val="ListParagraph"/>
        <w:numPr>
          <w:ilvl w:val="0"/>
          <w:numId w:val="3"/>
        </w:numPr>
        <w:spacing w:after="80" w:line="276"/>
      </w:pPr>
      <w:r>
        <w:rPr>
          <w:rFonts w:ascii="Calibri" w:cs="Calibri" w:eastAsia="Calibri" w:hAnsi="Calibri"/>
          <w:b/>
          <w:bCs/>
          <w:color w:val="1A1A1A"/>
          <w:sz w:val="21"/>
          <w:szCs w:val="21"/>
        </w:rPr>
        <w:t xml:space="preserve">Wednesday cut-off</w:t>
      </w:r>
      <w:r>
        <w:rPr>
          <w:rFonts w:ascii="Calibri" w:cs="Calibri" w:eastAsia="Calibri" w:hAnsi="Calibri"/>
          <w:color w:val="1A1A1A"/>
          <w:sz w:val="21"/>
          <w:szCs w:val="21"/>
        </w:rPr>
        <w:t xml:space="preserve"> — changes freeze. Nothing ships after cut-off, so the week's measurement refers to one known configuration.</w:t>
      </w:r>
    </w:p>
    <w:p>
      <w:pPr>
        <w:pStyle w:val="ListParagraph"/>
        <w:numPr>
          <w:ilvl w:val="0"/>
          <w:numId w:val="3"/>
        </w:numPr>
        <w:spacing w:after="80" w:line="276"/>
      </w:pPr>
      <w:r>
        <w:rPr>
          <w:rFonts w:ascii="Calibri" w:cs="Calibri" w:eastAsia="Calibri" w:hAnsi="Calibri"/>
          <w:b/>
          <w:bCs/>
          <w:color w:val="1A1A1A"/>
          <w:sz w:val="21"/>
          <w:szCs w:val="21"/>
        </w:rPr>
        <w:t xml:space="preserve">Thursday</w:t>
      </w:r>
      <w:r>
        <w:rPr>
          <w:rFonts w:ascii="Calibri" w:cs="Calibri" w:eastAsia="Calibri" w:hAnsi="Calibri"/>
          <w:color w:val="1A1A1A"/>
          <w:sz w:val="21"/>
          <w:szCs w:val="21"/>
        </w:rPr>
        <w:t xml:space="preserve"> — changes deployed to the studio environment; version recorded; weekly loop reviews the result.</w:t>
      </w:r>
    </w:p>
    <w:p>
      <w:pPr>
        <w:pStyle w:val="ListParagraph"/>
        <w:numPr>
          <w:ilvl w:val="0"/>
          <w:numId w:val="3"/>
        </w:numPr>
        <w:spacing w:after="80" w:line="276"/>
      </w:pPr>
      <w:r>
        <w:rPr>
          <w:rFonts w:ascii="Calibri" w:cs="Calibri" w:eastAsia="Calibri" w:hAnsi="Calibri"/>
          <w:b/>
          <w:bCs/>
          <w:color w:val="1A1A1A"/>
          <w:sz w:val="21"/>
          <w:szCs w:val="21"/>
        </w:rPr>
        <w:t xml:space="preserve">Following week</w:t>
      </w:r>
      <w:r>
        <w:rPr>
          <w:rFonts w:ascii="Calibri" w:cs="Calibri" w:eastAsia="Calibri" w:hAnsi="Calibri"/>
          <w:color w:val="1A1A1A"/>
          <w:sz w:val="21"/>
          <w:szCs w:val="21"/>
        </w:rPr>
        <w:t xml:space="preserve"> — effect measured on new loans and the change is marked verified, reverted, or refined.</w:t>
      </w:r>
    </w:p>
    <w:p>
      <w:pPr>
        <w:spacing w:after="80" w:before="200"/>
      </w:pPr>
      <w:r>
        <w:rPr>
          <w:rFonts w:ascii="Calibri" w:cs="Calibri" w:eastAsia="Calibri" w:hAnsi="Calibri"/>
          <w:b/>
          <w:bCs/>
          <w:color w:val="0E3A4F"/>
          <w:sz w:val="22"/>
          <w:szCs w:val="22"/>
        </w:rPr>
        <w:t xml:space="preserve">Attribution discipline</w:t>
      </w:r>
    </w:p>
    <w:p>
      <w:pPr>
        <w:spacing w:after="120" w:line="276"/>
      </w:pPr>
      <w:r>
        <w:rPr>
          <w:rFonts w:ascii="Calibri" w:cs="Calibri" w:eastAsia="Calibri" w:hAnsi="Calibri"/>
          <w:color w:val="1A1A1A"/>
          <w:sz w:val="21"/>
          <w:szCs w:val="21"/>
        </w:rPr>
        <w:t xml:space="preserve">The most common tuning failure is shipping five changes in a week, seeing accuracy improve, and being unable to say which change did it — or noticing three weeks later that one of the five quietly broke something else. Discipline here is what separates a tuned system from a drifted one.</w:t>
      </w:r>
    </w:p>
    <w:p>
      <w:pPr>
        <w:pStyle w:val="ListParagraph"/>
        <w:numPr>
          <w:ilvl w:val="0"/>
          <w:numId w:val="4"/>
        </w:numPr>
        <w:spacing w:after="80" w:line="276"/>
      </w:pPr>
      <w:r>
        <w:rPr>
          <w:rFonts w:ascii="Calibri" w:cs="Calibri" w:eastAsia="Calibri" w:hAnsi="Calibri"/>
          <w:color w:val="1A1A1A"/>
          <w:sz w:val="21"/>
          <w:szCs w:val="21"/>
        </w:rPr>
        <w:t xml:space="preserve">Prefer one substantive change per area per cycle</w:t>
      </w:r>
    </w:p>
    <w:p>
      <w:pPr>
        <w:pStyle w:val="ListParagraph"/>
        <w:numPr>
          <w:ilvl w:val="0"/>
          <w:numId w:val="4"/>
        </w:numPr>
        <w:spacing w:after="80" w:line="276"/>
      </w:pPr>
      <w:r>
        <w:rPr>
          <w:rFonts w:ascii="Calibri" w:cs="Calibri" w:eastAsia="Calibri" w:hAnsi="Calibri"/>
          <w:color w:val="1A1A1A"/>
          <w:sz w:val="21"/>
          <w:szCs w:val="21"/>
        </w:rPr>
        <w:t xml:space="preserve">Always run the regression set — the risk is not the change failing, it is the change fixing one thing and breaking two others</w:t>
      </w:r>
    </w:p>
    <w:p>
      <w:pPr>
        <w:pStyle w:val="ListParagraph"/>
        <w:numPr>
          <w:ilvl w:val="0"/>
          <w:numId w:val="4"/>
        </w:numPr>
        <w:spacing w:after="80" w:line="276"/>
      </w:pPr>
      <w:r>
        <w:rPr>
          <w:rFonts w:ascii="Calibri" w:cs="Calibri" w:eastAsia="Calibri" w:hAnsi="Calibri"/>
          <w:color w:val="1A1A1A"/>
          <w:sz w:val="21"/>
          <w:szCs w:val="21"/>
        </w:rPr>
        <w:t xml:space="preserve">Record the configuration version against every studio loan so any metric can be recomputed by configuration</w:t>
      </w:r>
    </w:p>
    <w:p>
      <w:pPr>
        <w:pStyle w:val="ListParagraph"/>
        <w:numPr>
          <w:ilvl w:val="0"/>
          <w:numId w:val="4"/>
        </w:numPr>
        <w:spacing w:after="80" w:line="276"/>
      </w:pPr>
      <w:r>
        <w:rPr>
          <w:rFonts w:ascii="Calibri" w:cs="Calibri" w:eastAsia="Calibri" w:hAnsi="Calibri"/>
          <w:color w:val="1A1A1A"/>
          <w:sz w:val="21"/>
          <w:szCs w:val="21"/>
        </w:rPr>
        <w:t xml:space="preserve">Revert quickly and without ceremony; a reverted change is a finding, not a failure</w:t>
      </w:r>
    </w:p>
    <w:p>
      <w:pPr>
        <w:pStyle w:val="ListParagraph"/>
        <w:numPr>
          <w:ilvl w:val="0"/>
          <w:numId w:val="4"/>
        </w:numPr>
        <w:spacing w:after="80" w:line="276"/>
      </w:pPr>
      <w:r>
        <w:rPr>
          <w:rFonts w:ascii="Calibri" w:cs="Calibri" w:eastAsia="Calibri" w:hAnsi="Calibri"/>
          <w:color w:val="1A1A1A"/>
          <w:sz w:val="21"/>
          <w:szCs w:val="21"/>
        </w:rPr>
        <w:t xml:space="preserve">Never tune on the loans you will use to prove the result — keep a clean holdout for the G4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Tuning maturity — the trajectory to plan for</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2246"/>
        <w:gridCol w:w="2620"/>
        <w:gridCol w:w="2622"/>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Phase</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tunes</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Our role</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Target state</w:t>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Days 15–30</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Observe and specify</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understand what is changeable</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Days 31–45</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with us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Pair on every change</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can specify precisely</w:t>
            </w:r>
          </w:p>
        </w:tc>
      </w:tr>
      <w:tr>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Days 46–70</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Us with JazzX support</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Make changes ourselves</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can tune independently</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Days 71–90</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Us</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on escalation only</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Capability transferred</w:t>
            </w:r>
          </w:p>
        </w:tc>
      </w:tr>
    </w:tbl>
    <w:p>
      <w:pPr>
        <w:spacing w:after="160" w:before="80"/>
      </w:pPr>
      <w:r>
        <w:rPr>
          <w:rFonts w:ascii="Calibri" w:cs="Calibri" w:eastAsia="Calibri" w:hAnsi="Calibri"/>
          <w:i/>
          <w:iCs/>
          <w:color w:val="5A6B73"/>
          <w:sz w:val="18"/>
          <w:szCs w:val="18"/>
        </w:rPr>
        <w:t xml:space="preserve">If at Day 90 only JazzX can make a change, the G4 scale decision carries a dependency risk that must be priced.</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Monday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Backlog review; week's changes selected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set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Wednesday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freeze; regression run</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Tested change set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Thursday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Deploy; weekly loop reviews effect</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Version recorded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Prior week's changes marked verified / reverted / refined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log</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 and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Cumulative improvement evidenced against a clean holdout</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evidence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4"/>
        </w:numPr>
        <w:spacing w:after="80" w:line="276"/>
      </w:pPr>
      <w:r>
        <w:rPr>
          <w:rFonts w:ascii="Calibri" w:cs="Calibri" w:eastAsia="Calibri" w:hAnsi="Calibri"/>
          <w:color w:val="1A1A1A"/>
          <w:sz w:val="21"/>
          <w:szCs w:val="21"/>
        </w:rPr>
        <w:t xml:space="preserve">Every change logged with before-and-after measurement and a configuration version</w:t>
      </w:r>
    </w:p>
    <w:p>
      <w:pPr>
        <w:pStyle w:val="ListParagraph"/>
        <w:numPr>
          <w:ilvl w:val="0"/>
          <w:numId w:val="4"/>
        </w:numPr>
        <w:spacing w:after="80" w:line="276"/>
      </w:pPr>
      <w:r>
        <w:rPr>
          <w:rFonts w:ascii="Calibri" w:cs="Calibri" w:eastAsia="Calibri" w:hAnsi="Calibri"/>
          <w:color w:val="1A1A1A"/>
          <w:sz w:val="21"/>
          <w:szCs w:val="21"/>
        </w:rPr>
        <w:t xml:space="preserve">Regression set run on every cycle</w:t>
      </w:r>
    </w:p>
    <w:p>
      <w:pPr>
        <w:pStyle w:val="ListParagraph"/>
        <w:numPr>
          <w:ilvl w:val="0"/>
          <w:numId w:val="4"/>
        </w:numPr>
        <w:spacing w:after="80" w:line="276"/>
      </w:pPr>
      <w:r>
        <w:rPr>
          <w:rFonts w:ascii="Calibri" w:cs="Calibri" w:eastAsia="Calibri" w:hAnsi="Calibri"/>
          <w:color w:val="1A1A1A"/>
          <w:sz w:val="21"/>
          <w:szCs w:val="21"/>
        </w:rPr>
        <w:t xml:space="preserve">A clean holdout preserved and never tuned against</w:t>
      </w:r>
    </w:p>
    <w:p>
      <w:pPr>
        <w:pStyle w:val="ListParagraph"/>
        <w:numPr>
          <w:ilvl w:val="0"/>
          <w:numId w:val="4"/>
        </w:numPr>
        <w:spacing w:after="80" w:line="276"/>
      </w:pPr>
      <w:r>
        <w:rPr>
          <w:rFonts w:ascii="Calibri" w:cs="Calibri" w:eastAsia="Calibri" w:hAnsi="Calibri"/>
          <w:color w:val="1A1A1A"/>
          <w:sz w:val="21"/>
          <w:szCs w:val="21"/>
        </w:rPr>
        <w:t xml:space="preserve">Our team making changes independently by Day 70</w:t>
      </w:r>
    </w:p>
    <w:p>
      <w:pPr>
        <w:pStyle w:val="ListParagraph"/>
        <w:numPr>
          <w:ilvl w:val="0"/>
          <w:numId w:val="4"/>
        </w:numPr>
        <w:spacing w:after="80" w:line="276"/>
      </w:pPr>
      <w:r>
        <w:rPr>
          <w:rFonts w:ascii="Calibri" w:cs="Calibri" w:eastAsia="Calibri" w:hAnsi="Calibri"/>
          <w:color w:val="1A1A1A"/>
          <w:sz w:val="21"/>
          <w:szCs w:val="21"/>
        </w:rPr>
        <w:t xml:space="preserve">Compliance reviewed every change affecting a borrower-facing outcome</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velocity outruns measurement, so nothing can be attributed</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substantive change per area per cycle; weekly freeze; version tagging</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Overfitting to studio loans</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Clean holdout preserved; regression set run every cycle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Capability never transfers and we are vendor-dependent at Day 91</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Maturity trajectory tracked as a deliverable and reviewed at every gate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tuning change alters borrower-facing outcomes without review</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review gate on any borrower-affecting change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Tuning chases interesting problems rather than frequent ones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Backlog prioritised on frequency × severity from the comparison log</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Tune in Jazz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Tune in Jazz</dc:title>
  <dc:creator>Design Studio Program Office</dc:creator>
  <dc:description>The improvement engine: change, evidence, and capability transfer.</dc:description>
  <cp:lastModifiedBy>Un-named</cp:lastModifiedBy>
  <cp:revision>1</cp:revision>
  <dcterms:created xsi:type="dcterms:W3CDTF">2026-08-04T00:16:05.057Z</dcterms:created>
  <dcterms:modified xsi:type="dcterms:W3CDTF">2026-08-04T00:16:05.057Z</dcterms:modified>
</cp:coreProperties>
</file>

<file path=docProps/custom.xml><?xml version="1.0" encoding="utf-8"?>
<Properties xmlns="http://schemas.openxmlformats.org/officeDocument/2006/custom-properties" xmlns:vt="http://schemas.openxmlformats.org/officeDocument/2006/docPropsVTypes"/>
</file>