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3E8FA3"/>
          <w:spacing w:val="30"/>
          <w:sz w:val="17"/>
          <w:szCs w:val="17"/>
        </w:rPr>
        <w:t xml:space="preserve">EXECUTION — TUNE IN JAZZ  │  ONE-PAGER 15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E3A4F"/>
          <w:sz w:val="40"/>
          <w:szCs w:val="40"/>
        </w:rPr>
        <w:t xml:space="preserve">Refining Prompts, Conditions &amp; Document Recognition</w:t>
      </w:r>
    </w:p>
    <w:p>
      <w:pPr>
        <w:pBdr>
          <w:bottom w:val="single" w:color="1B6B7C" w:sz="12" w:space="8"/>
        </w:pBdr>
        <w:spacing w:after="200"/>
      </w:pPr>
      <w:r>
        <w:rPr>
          <w:rFonts w:ascii="Calibri" w:cs="Calibri" w:eastAsia="Calibri" w:hAnsi="Calibri"/>
          <w:i/>
          <w:iCs/>
          <w:color w:val="5A6B73"/>
          <w:sz w:val="21"/>
          <w:szCs w:val="21"/>
        </w:rPr>
        <w:t xml:space="preserve">The three tuning surfaces, who may change what, and how a change is proven.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PURPOSE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 define the mechanics of tuning: the three surfaces available, the workflow a change passes through, who is authorised to make each kind of change, and the evidence required before a change is considered verified. This is the most operationally detailed document in the pack because it is the work the studio does most often.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OWNER &amp; RACI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3182"/>
        <w:gridCol w:w="3744"/>
        <w:gridCol w:w="2434"/>
      </w:tblGrid>
      <w:tr>
        <w:trPr>
          <w:tblHeader/>
        </w:trPr>
        <w:tc>
          <w:tcPr>
            <w:tcW w:type="dxa" w:w="318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74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 (fill in at G0)</w:t>
            </w:r>
          </w:p>
        </w:tc>
        <w:tc>
          <w:tcPr>
            <w:tcW w:type="dxa" w:w="243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 / A / C / I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— owns the tuning backlog and cadence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JazzX engineer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 — implements, then enables us to implement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Senior underwriter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— sole authority on whether an output is correct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Data analyst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 — regression and effect measurement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Compliance liaison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 — approves borrower-affecting changes</w:t>
            </w:r>
          </w:p>
        </w:tc>
      </w:tr>
    </w:tbl>
    <w:p>
      <w:pPr>
        <w:spacing w:after="12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DECISIONS THIS DOCUMENT MAKES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underwriter is the sole arbiter of correctness.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Not the vendor, not the Studio Lead. Ground truth is a credit judgement.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One substantive change per surface per cycle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so effects remain attributable.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change runs against the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regression set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before shipping — a held-back set of loans previously handled correctly.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change is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verified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only after measurement on new loans, not on the loans that prompted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Condition logic changes and anything affecting adverse-action reasoning require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Compliance review before shipping.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THE FRAMEWORK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The three surfaces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1872"/>
        <w:gridCol w:w="2620"/>
        <w:gridCol w:w="2620"/>
        <w:gridCol w:w="2248"/>
      </w:tblGrid>
      <w:tr>
        <w:trPr>
          <w:tblHeader/>
        </w:trPr>
        <w:tc>
          <w:tcPr>
            <w:tcW w:type="dxa" w:w="187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Surface</w:t>
            </w:r>
          </w:p>
        </w:tc>
        <w:tc>
          <w:tcPr>
            <w:tcW w:type="dxa" w:w="262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you change</w:t>
            </w:r>
          </w:p>
        </w:tc>
        <w:tc>
          <w:tcPr>
            <w:tcW w:type="dxa" w:w="262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Typical failure it fixes</w:t>
            </w:r>
          </w:p>
        </w:tc>
        <w:tc>
          <w:tcPr>
            <w:tcW w:type="dxa" w:w="2248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 of changing</w:t>
            </w:r>
          </w:p>
        </w:tc>
      </w:tr>
      <w:tr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Document recognition</w:t>
            </w:r>
          </w:p>
        </w:tc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Classification rules, templates, quality handling for a document type</w:t>
            </w:r>
          </w:p>
        </w:tc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Bank statement from a regional lender misclassified; scanned paystub not read</w:t>
            </w:r>
          </w:p>
        </w:tc>
        <w:tc>
          <w:tcPr>
            <w:tcW w:type="dxa" w:w="22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Low — narrow blast radius, easy to regression-test</w:t>
            </w:r>
          </w:p>
        </w:tc>
      </w:tr>
      <w:tr>
        <w:tc>
          <w:tcPr>
            <w:tcW w:type="dxa" w:w="187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Data extraction</w:t>
            </w:r>
          </w:p>
        </w:tc>
        <w:tc>
          <w:tcPr>
            <w:tcW w:type="dxa" w:w="262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Field mapping, extraction logic, validation and cross-check rules</w:t>
            </w:r>
          </w:p>
        </w:tc>
        <w:tc>
          <w:tcPr>
            <w:tcW w:type="dxa" w:w="262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YTD income pulled from the wrong column; multi-page document truncated</w:t>
            </w:r>
          </w:p>
        </w:tc>
        <w:tc>
          <w:tcPr>
            <w:tcW w:type="dxa" w:w="224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Medium — a field error propagates into calculations downstream</w:t>
            </w:r>
          </w:p>
        </w:tc>
      </w:tr>
      <w:tr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Prompts and condition logic</w:t>
            </w:r>
          </w:p>
        </w:tc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Instructions governing what Jazz evaluates, how it reasons, when it raises a condition</w:t>
            </w:r>
          </w:p>
        </w:tc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Over-conditioning on gift funds; missing a required VOE condition</w:t>
            </w:r>
          </w:p>
        </w:tc>
        <w:tc>
          <w:tcPr>
            <w:tcW w:type="dxa" w:w="22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High — directly affects borrower outcomes; always Compliance-reviewed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Change workflow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Observed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a difference is recorded in the comparison log during normal studio work.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Triaged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categorised by surface, frequency and severity in the weekly loop.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Root-caused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is this a prompt problem, a source data problem, a document quality problem, or a genuine limitation? Changing a prompt to fix bad source data makes things worse.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Specified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the intended behaviour written down before anyone changes anything, in underwriting language.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Built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implemented by JazzX early in the program, by our team from Day 46.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Regression tested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run against the held-back set; any degradation blocks the ship.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Reviewed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Compliance reviews if borrower-affecting.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Shipped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deployed at the Thursday cycle with a version tag.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Verified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measured on new loans the following week and marked verified, reverted, or refined.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Root-cause first — the discipline that saves the most time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When Jazz gets something wrong, the reflex is to change the prompt. Often the prompt is fine and something upstream is not. Diagnosing before tuning avoids a class of change that appears to work on the observed file and degrades everything else.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3369"/>
        <w:gridCol w:w="3182"/>
        <w:gridCol w:w="2809"/>
      </w:tblGrid>
      <w:tr>
        <w:trPr>
          <w:tblHeader/>
        </w:trPr>
        <w:tc>
          <w:tcPr>
            <w:tcW w:type="dxa" w:w="336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If the failure is...</w:t>
            </w:r>
          </w:p>
        </w:tc>
        <w:tc>
          <w:tcPr>
            <w:tcW w:type="dxa" w:w="318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 fix is...</w:t>
            </w:r>
          </w:p>
        </w:tc>
        <w:tc>
          <w:tcPr>
            <w:tcW w:type="dxa" w:w="280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Not...</w:t>
            </w:r>
          </w:p>
        </w:tc>
      </w:tr>
      <w:tr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document type Jazz has not seen</w:t>
            </w:r>
          </w:p>
        </w:tc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Recognition training or template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prompt change</w:t>
            </w:r>
          </w:p>
        </w:tc>
      </w:tr>
      <w:tr>
        <w:tc>
          <w:tcPr>
            <w:tcW w:type="dxa" w:w="336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document is illegible or truncated</w:t>
            </w:r>
          </w:p>
        </w:tc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Upstream capture quality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Any tuning at all</w:t>
            </w:r>
          </w:p>
        </w:tc>
      </w:tr>
      <w:tr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field exists but was read wrongly</w:t>
            </w:r>
          </w:p>
        </w:tc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Extraction mapping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prompt change</w:t>
            </w:r>
          </w:p>
        </w:tc>
      </w:tr>
      <w:tr>
        <w:tc>
          <w:tcPr>
            <w:tcW w:type="dxa" w:w="336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data is right but the judgement is wrong</w:t>
            </w:r>
          </w:p>
        </w:tc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Prompt or condition logic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Extraction changes</w:t>
            </w:r>
          </w:p>
        </w:tc>
      </w:tr>
      <w:tr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Our guideline is ambiguous</w:t>
            </w:r>
          </w:p>
        </w:tc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Fix the guideline, then the prompt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Encoding the ambiguity into Jazz</w:t>
            </w:r>
          </w:p>
        </w:tc>
      </w:tr>
      <w:tr>
        <w:tc>
          <w:tcPr>
            <w:tcW w:type="dxa" w:w="336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Genuine model limitation</w:t>
            </w:r>
          </w:p>
        </w:tc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Log as an accepted limitation; feed one-pager 17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Endless tuning against a wall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Prompt hygiene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Prompts are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version-controlled with an author, a date and a rationale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not edited in place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Write in the underwriting language of your own guidelines, not in generic terms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Encode the guideline reference so a change is traceable to a policy source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Prefer explicit over clever; a prompt a new underwriter can read and verify is a prompt you can defend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When a prompt grows past readability, split it rather than extending it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Never encode a rule nobody can point to a guideline for — that is how undocumented credit policy is created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ARTIFACTS &amp; TEMPLATES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Change record — one per change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178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Change ID, date, author</w:t>
            </w:r>
          </w:p>
        </w:tc>
        <w:tc>
          <w:tcPr>
            <w:tcW w:type="dxa" w:w="617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Surface</w:t>
            </w:r>
          </w:p>
        </w:tc>
        <w:tc>
          <w:tcPr>
            <w:tcW w:type="dxa" w:w="617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Recognition / extraction / prompt / condition logic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Triggered by</w:t>
            </w:r>
          </w:p>
        </w:tc>
        <w:tc>
          <w:tcPr>
            <w:tcW w:type="dxa" w:w="617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Comparison log entries — list loan IDs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Root cause</w:t>
            </w:r>
          </w:p>
        </w:tc>
        <w:tc>
          <w:tcPr>
            <w:tcW w:type="dxa" w:w="617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Intended behaviour change</w:t>
            </w:r>
          </w:p>
        </w:tc>
        <w:tc>
          <w:tcPr>
            <w:tcW w:type="dxa" w:w="617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 underwriting language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Guideline reference</w:t>
            </w:r>
          </w:p>
        </w:tc>
        <w:tc>
          <w:tcPr>
            <w:tcW w:type="dxa" w:w="617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Regression result</w:t>
            </w:r>
          </w:p>
        </w:tc>
        <w:tc>
          <w:tcPr>
            <w:tcW w:type="dxa" w:w="617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Pass / fail, with any degradation noted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Compliance reviewed</w:t>
            </w:r>
          </w:p>
        </w:tc>
        <w:tc>
          <w:tcPr>
            <w:tcW w:type="dxa" w:w="617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Yes / no / not applicable, with reviewer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Shipped version and date</w:t>
            </w:r>
          </w:p>
        </w:tc>
        <w:tc>
          <w:tcPr>
            <w:tcW w:type="dxa" w:w="617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Effect measured</w:t>
            </w:r>
          </w:p>
        </w:tc>
        <w:tc>
          <w:tcPr>
            <w:tcW w:type="dxa" w:w="617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Metric, before, after, n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Status</w:t>
            </w:r>
          </w:p>
        </w:tc>
        <w:tc>
          <w:tcPr>
            <w:tcW w:type="dxa" w:w="617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Verified / reverted / refined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Change authority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3182"/>
        <w:gridCol w:w="2808"/>
        <w:gridCol w:w="3370"/>
      </w:tblGrid>
      <w:tr>
        <w:trPr>
          <w:tblHeader/>
        </w:trPr>
        <w:tc>
          <w:tcPr>
            <w:tcW w:type="dxa" w:w="318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 type</w:t>
            </w:r>
          </w:p>
        </w:tc>
        <w:tc>
          <w:tcPr>
            <w:tcW w:type="dxa" w:w="2808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May be made by</w:t>
            </w:r>
          </w:p>
        </w:tc>
        <w:tc>
          <w:tcPr>
            <w:tcW w:type="dxa" w:w="337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Requires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Document recognition</w:t>
            </w:r>
          </w:p>
        </w:tc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(from Day 46)</w:t>
            </w:r>
          </w:p>
        </w:tc>
        <w:tc>
          <w:tcPr>
            <w:tcW w:type="dxa" w:w="33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Regression pass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Data extraction mapping</w:t>
            </w:r>
          </w:p>
        </w:tc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(from Day 46)</w:t>
            </w:r>
          </w:p>
        </w:tc>
        <w:tc>
          <w:tcPr>
            <w:tcW w:type="dxa" w:w="337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Regression pass + underwriter confirmation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Prompt refinement, no outcome change</w:t>
            </w:r>
          </w:p>
        </w:tc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with JazzX</w:t>
            </w:r>
          </w:p>
        </w:tc>
        <w:tc>
          <w:tcPr>
            <w:tcW w:type="dxa" w:w="33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Regression pass + underwriter sign-off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Condition logic</w:t>
            </w:r>
          </w:p>
        </w:tc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 + senior underwriter</w:t>
            </w:r>
          </w:p>
        </w:tc>
        <w:tc>
          <w:tcPr>
            <w:tcW w:type="dxa" w:w="337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Compliance review before ship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Anything affecting adverse-action reasoning</w:t>
            </w:r>
          </w:p>
        </w:tc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  <w:tc>
          <w:tcPr>
            <w:tcW w:type="dxa" w:w="33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Compliance review + Model Risk notification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Anything expanding the data sent to Jazz</w:t>
            </w:r>
          </w:p>
        </w:tc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Not the studio</w:t>
            </w:r>
          </w:p>
        </w:tc>
        <w:tc>
          <w:tcPr>
            <w:tcW w:type="dxa" w:w="337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InfoSec + Steering</w:t>
            </w:r>
          </w:p>
        </w:tc>
      </w:tr>
    </w:tbl>
    <w:p>
      <w:pPr>
        <w:spacing w:after="16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CADENCE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059"/>
        <w:gridCol w:w="4492"/>
        <w:gridCol w:w="2809"/>
      </w:tblGrid>
      <w:tr>
        <w:trPr>
          <w:tblHeader/>
        </w:trPr>
        <w:tc>
          <w:tcPr>
            <w:tcW w:type="dxa" w:w="205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449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80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Monday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Backlog triage; week's changes specified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Change specifications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Tue–Wed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Build and regression test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Regression results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Wednesday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Change freeze; Compliance review where required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Approved change set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Thursday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Ship with version tag; review in the weekly loop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Deployed version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Following week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Effect measured on new loans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Verified / reverted / refined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At gates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Cumulative change history and net effect presented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Improvement log</w:t>
            </w:r>
          </w:p>
        </w:tc>
      </w:tr>
    </w:tbl>
    <w:p>
      <w:pPr>
        <w:spacing w:after="12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change has a record with root cause, regression result and measured effect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Regression set run on every cycle with no unexplained degradation shipped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Compliance reviewed every borrower-affecting change before it shipped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Prompts version-controlled with author, date, rationale and guideline reference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Studio team making changes independently from Day 46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RISKS &amp; ESCALATION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808"/>
        <w:gridCol w:w="4212"/>
        <w:gridCol w:w="2340"/>
      </w:tblGrid>
      <w:tr>
        <w:trPr>
          <w:tblHeader/>
        </w:trPr>
        <w:tc>
          <w:tcPr>
            <w:tcW w:type="dxa" w:w="2808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21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234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Escalates to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Prompt changed to fix what is actually a data quality problem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Root-cause step is mandatory before specification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Regression set degrades silently over many small changes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Full regression every cycle; results reviewed in the weekly loop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Data analyst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Undocumented credit policy created inside prompts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Guideline reference required on every condition-logic change; Compliance review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Compliance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Vendor makes changes outside the cycle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Change control agreed in the SOW; version tag on every studio loan reveals drift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Tuning optimises the metric rather than the outcome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Senior underwriter is sole arbiter of correctness; false clear rate guards the trade-off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Senior underwriter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DC" w:sz="4" w:space="6"/>
      </w:pBdr>
    </w:pPr>
    <w:r>
      <w:rPr>
        <w:rFonts w:ascii="Calibri" w:cs="Calibri" w:eastAsia="Calibri" w:hAnsi="Calibri"/>
        <w:color w:val="5A6B73"/>
        <w:sz w:val="16"/>
        <w:szCs w:val="16"/>
      </w:rPr>
      <w:t xml:space="preserve">JazzX Design Studio — 90-Day Framework  │  Refining Prompts, Conditions &amp; Document Recognition   </w:t>
    </w:r>
    <w:r>
      <w:rPr>
        <w:rFonts w:ascii="Calibri" w:cs="Calibri" w:eastAsia="Calibri" w:hAnsi="Calibri"/>
        <w:color w:val="5A6B7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3" w:hanging="259"/>
      </w:pPr>
      <w:rPr>
        <w:color w:val="1B6B7C"/>
        <w:sz w:val="21"/>
        <w:szCs w:val="21"/>
      </w:rPr>
    </w:lvl>
    <w:lvl w:ilvl="1" w15:tentative="1">
      <w:start w:val="1"/>
      <w:numFmt w:val="bullet"/>
      <w:lvlText w:val="○"/>
      <w:lvlJc w:val="left"/>
      <w:pPr>
        <w:ind w:left="763" w:hanging="259"/>
      </w:pPr>
      <w:rPr>
        <w:color w:val="5A6B73"/>
        <w:sz w:val="21"/>
        <w:szCs w:val="21"/>
      </w:rPr>
    </w:lvl>
    <w:lvl w:ilvl="2" w15:tentative="1">
      <w:start w:val="1"/>
      <w:numFmt w:val="bullet"/>
      <w:lvlText w:val="▪"/>
      <w:lvlJc w:val="left"/>
      <w:pPr>
        <w:ind w:left="1123" w:hanging="259"/>
      </w:pPr>
      <w:rPr>
        <w:color w:val="5A6B73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  <w:rPr>
        <w:b/>
        <w:bCs/>
        <w:color w:val="1B6B7C"/>
        <w:sz w:val="21"/>
        <w:szCs w:val="21"/>
      </w:rPr>
    </w:lvl>
    <w:lvl w:ilvl="1" w15:tentative="1">
      <w:start w:val="1"/>
      <w:numFmt w:val="lowerLetter"/>
      <w:lvlText w:val="%2."/>
      <w:lvlJc w:val="left"/>
      <w:pPr>
        <w:ind w:left="835" w:hanging="316"/>
      </w:pPr>
      <w:rPr>
        <w:color w:val="5A6B73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Refining Prompts, Conditions &amp; Document Recognition</dc:title>
  <dc:creator>Design Studio Program Office</dc:creator>
  <dc:description>The three tuning surfaces, who may change what, and how a change is proven.</dc:description>
  <cp:lastModifiedBy>Un-named</cp:lastModifiedBy>
  <cp:revision>1</cp:revision>
  <dcterms:created xsi:type="dcterms:W3CDTF">2026-08-04T00:16:05.086Z</dcterms:created>
  <dcterms:modified xsi:type="dcterms:W3CDTF">2026-08-04T00:16:05.086Z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