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EXECUTION — TUNE IN JAZZ  │  ONE-PAGER 16</w:t>
      </w:r>
    </w:p>
    <w:p>
      <w:pPr>
        <w:spacing w:after="60"/>
      </w:pPr>
      <w:r>
        <w:rPr>
          <w:rFonts w:ascii="Calibri" w:cs="Calibri" w:eastAsia="Calibri" w:hAnsi="Calibri"/>
          <w:b/>
          <w:bCs/>
          <w:color w:val="0E3A4F"/>
          <w:sz w:val="40"/>
          <w:szCs w:val="40"/>
        </w:rPr>
        <w:t xml:space="preserve">Documenting Improvement</w:t>
      </w:r>
    </w:p>
    <w:p>
      <w:pPr>
        <w:pBdr>
          <w:bottom w:val="single" w:color="1B6B7C" w:sz="12" w:space="8"/>
        </w:pBdr>
        <w:spacing w:after="200"/>
      </w:pPr>
      <w:r>
        <w:rPr>
          <w:rFonts w:ascii="Calibri" w:cs="Calibri" w:eastAsia="Calibri" w:hAnsi="Calibri"/>
          <w:i/>
          <w:iCs/>
          <w:color w:val="5A6B73"/>
          <w:sz w:val="21"/>
          <w:szCs w:val="21"/>
        </w:rPr>
        <w:t xml:space="preserve">Turning a change log into evidence that survives Gate 4.</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ensure that every improvement the studio makes is captured as defensible evidence rather than as an impression that things got better. At Gate 4 the studio must be able to show what Jazz did on Day 20, what it does on Day 85, what changed in between, and how much of the difference is attributable to tuning rather than to the team getting better at using it. That last distinction is where most pilots quietly overstate their results.</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measurement integrity</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maintains the improvement log</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Senior underwriter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confirms correctness judgements</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consumes the evidence for the business case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Improvement is measured on a </w:t>
      </w:r>
      <w:r>
        <w:rPr>
          <w:rFonts w:ascii="Calibri" w:cs="Calibri" w:eastAsia="Calibri" w:hAnsi="Calibri"/>
          <w:b/>
          <w:bCs/>
          <w:color w:val="1A1A1A"/>
          <w:sz w:val="21"/>
          <w:szCs w:val="21"/>
        </w:rPr>
        <w:t xml:space="preserve">clean holdout that is never tuned against.</w:t>
      </w:r>
      <w:r>
        <w:rPr>
          <w:rFonts w:ascii="Calibri" w:cs="Calibri" w:eastAsia="Calibri" w:hAnsi="Calibri"/>
          <w:color w:val="1A1A1A"/>
          <w:sz w:val="21"/>
          <w:szCs w:val="21"/>
        </w:rPr>
        <w:t xml:space="preserve"> Without it, the studio cannot distinguish learning from overfitting.</w:t>
      </w:r>
    </w:p>
    <w:p>
      <w:pPr>
        <w:pStyle w:val="ListParagraph"/>
        <w:numPr>
          <w:ilvl w:val="0"/>
          <w:numId w:val="2"/>
        </w:numPr>
        <w:spacing w:after="80" w:line="276"/>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learning effect is measured separately</w:t>
      </w:r>
      <w:r>
        <w:rPr>
          <w:rFonts w:ascii="Calibri" w:cs="Calibri" w:eastAsia="Calibri" w:hAnsi="Calibri"/>
          <w:color w:val="1A1A1A"/>
          <w:sz w:val="21"/>
          <w:szCs w:val="21"/>
        </w:rPr>
        <w:t xml:space="preserve"> from the tuning effect, because participants get faster and better at using Jazz regardless of whether Jazz improves.</w:t>
      </w:r>
    </w:p>
    <w:p>
      <w:pPr>
        <w:pStyle w:val="ListParagraph"/>
        <w:numPr>
          <w:ilvl w:val="0"/>
          <w:numId w:val="2"/>
        </w:numPr>
        <w:spacing w:after="80" w:line="276"/>
      </w:pPr>
      <w:r>
        <w:rPr>
          <w:rFonts w:ascii="Calibri" w:cs="Calibri" w:eastAsia="Calibri" w:hAnsi="Calibri"/>
          <w:color w:val="1A1A1A"/>
          <w:sz w:val="21"/>
          <w:szCs w:val="21"/>
        </w:rPr>
        <w:t xml:space="preserve">Every improvement claim carries </w:t>
      </w:r>
      <w:r>
        <w:rPr>
          <w:rFonts w:ascii="Calibri" w:cs="Calibri" w:eastAsia="Calibri" w:hAnsi="Calibri"/>
          <w:b/>
          <w:bCs/>
          <w:color w:val="1A1A1A"/>
          <w:sz w:val="21"/>
          <w:szCs w:val="21"/>
        </w:rPr>
        <w:t xml:space="preserve">n and a conclusive-or-directional label.</w:t>
      </w:r>
      <w:r>
        <w:rPr>
          <w:rFonts w:ascii="Calibri" w:cs="Calibri" w:eastAsia="Calibri" w:hAnsi="Calibri"/>
          <w:color w:val="1A1A1A"/>
          <w:sz w:val="21"/>
          <w:szCs w:val="21"/>
        </w:rPr>
        <w:t xml:space="preserve"> Underpowered results are never presented as proof.</w:t>
      </w:r>
    </w:p>
    <w:p>
      <w:pPr>
        <w:pStyle w:val="ListParagraph"/>
        <w:numPr>
          <w:ilvl w:val="0"/>
          <w:numId w:val="2"/>
        </w:numPr>
        <w:spacing w:after="80" w:line="276"/>
      </w:pPr>
      <w:r>
        <w:rPr>
          <w:rFonts w:ascii="Calibri" w:cs="Calibri" w:eastAsia="Calibri" w:hAnsi="Calibri"/>
          <w:color w:val="1A1A1A"/>
          <w:sz w:val="21"/>
          <w:szCs w:val="21"/>
        </w:rPr>
        <w:t xml:space="preserve">The improvement log is written </w:t>
      </w:r>
      <w:r>
        <w:rPr>
          <w:rFonts w:ascii="Calibri" w:cs="Calibri" w:eastAsia="Calibri" w:hAnsi="Calibri"/>
          <w:b/>
          <w:bCs/>
          <w:color w:val="1A1A1A"/>
          <w:sz w:val="21"/>
          <w:szCs w:val="21"/>
        </w:rPr>
        <w:t xml:space="preserve">as the studio goes</w:t>
      </w:r>
      <w:r>
        <w:rPr>
          <w:rFonts w:ascii="Calibri" w:cs="Calibri" w:eastAsia="Calibri" w:hAnsi="Calibri"/>
          <w:color w:val="1A1A1A"/>
          <w:sz w:val="21"/>
          <w:szCs w:val="21"/>
        </w:rPr>
        <w:t xml:space="preserve">, never reconstructed at Day 85. Reconstructed logs are visibly reconstructed.</w:t>
      </w:r>
    </w:p>
    <w:p>
      <w:pPr>
        <w:pStyle w:val="ListParagraph"/>
        <w:numPr>
          <w:ilvl w:val="0"/>
          <w:numId w:val="2"/>
        </w:numPr>
        <w:spacing w:after="80" w:line="276"/>
      </w:pPr>
      <w:r>
        <w:rPr>
          <w:rFonts w:ascii="Calibri" w:cs="Calibri" w:eastAsia="Calibri" w:hAnsi="Calibri"/>
          <w:color w:val="1A1A1A"/>
          <w:sz w:val="21"/>
          <w:szCs w:val="21"/>
        </w:rPr>
        <w:t xml:space="preserve">Failed and reverted changes are documented with equal care. </w:t>
      </w:r>
      <w:r>
        <w:rPr>
          <w:rFonts w:ascii="Calibri" w:cs="Calibri" w:eastAsia="Calibri" w:hAnsi="Calibri"/>
          <w:b/>
          <w:bCs/>
          <w:color w:val="1A1A1A"/>
          <w:sz w:val="21"/>
          <w:szCs w:val="21"/>
        </w:rPr>
        <w:t xml:space="preserve">A studio that reports only successes has not been measuring.</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Three effects that must be separated</w:t>
      </w:r>
    </w:p>
    <w:p>
      <w:pPr>
        <w:spacing w:after="120" w:line="276"/>
      </w:pPr>
      <w:r>
        <w:rPr>
          <w:rFonts w:ascii="Calibri" w:cs="Calibri" w:eastAsia="Calibri" w:hAnsi="Calibri"/>
          <w:color w:val="1A1A1A"/>
          <w:sz w:val="21"/>
          <w:szCs w:val="21"/>
        </w:rPr>
        <w:t xml:space="preserve">Between Day 20 and Day 85 the studio's numbers improve for three quite different reasons. Conflating them is the single most common way a pilot overstates its case, and it is also the thing a sceptical CFO will probe first.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3931"/>
        <w:gridCol w:w="3557"/>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Effect</w:t>
            </w:r>
          </w:p>
        </w:tc>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it is</w:t>
            </w:r>
          </w:p>
        </w:tc>
        <w:tc>
          <w:tcPr>
            <w:tcW w:type="dxa" w:w="355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How to isolate it</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Tuning effect</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 genuinely got better at the task</w:t>
            </w:r>
          </w:p>
        </w:tc>
        <w:tc>
          <w:tcPr>
            <w:tcW w:type="dxa" w:w="355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Re-run the current configuration against the Day-20 holdout loans. Any gain is real tuning.</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Learning effect</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team got better at using and reviewing Jazz</w:t>
            </w:r>
          </w:p>
        </w:tc>
        <w:tc>
          <w:tcPr>
            <w:tcW w:type="dxa" w:w="355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Compare human review time and override rate over time on files of equal complexity.</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Mix effect</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Later loans were easier or different</w:t>
            </w:r>
          </w:p>
        </w:tc>
        <w:tc>
          <w:tcPr>
            <w:tcW w:type="dxa" w:w="355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Track complexity distribution weekly; report mix-adjusted where it shifted.</w:t>
            </w:r>
          </w:p>
        </w:tc>
      </w:tr>
    </w:tbl>
    <w:p>
      <w:pPr>
        <w:spacing w:after="160" w:before="80"/>
      </w:pPr>
      <w:r>
        <w:rPr>
          <w:rFonts w:ascii="Calibri" w:cs="Calibri" w:eastAsia="Calibri" w:hAnsi="Calibri"/>
          <w:i/>
          <w:iCs/>
          <w:color w:val="5A6B73"/>
          <w:sz w:val="18"/>
          <w:szCs w:val="18"/>
        </w:rPr>
        <w:t xml:space="preserve">All three are legitimate value. Only the first is transferable to a different team at scale, which is why the split matters to the business case.</w:t>
      </w:r>
    </w:p>
    <w:p>
      <w:pPr>
        <w:spacing w:after="80" w:before="200"/>
      </w:pPr>
      <w:r>
        <w:rPr>
          <w:rFonts w:ascii="Calibri" w:cs="Calibri" w:eastAsia="Calibri" w:hAnsi="Calibri"/>
          <w:b/>
          <w:bCs/>
          <w:color w:val="0E3A4F"/>
          <w:sz w:val="22"/>
          <w:szCs w:val="22"/>
        </w:rPr>
        <w:t xml:space="preserve">The holdout</w:t>
      </w:r>
    </w:p>
    <w:p>
      <w:pPr>
        <w:pStyle w:val="ListParagraph"/>
        <w:numPr>
          <w:ilvl w:val="0"/>
          <w:numId w:val="3"/>
        </w:numPr>
        <w:spacing w:after="80" w:line="276"/>
      </w:pPr>
      <w:r>
        <w:rPr>
          <w:rFonts w:ascii="Calibri" w:cs="Calibri" w:eastAsia="Calibri" w:hAnsi="Calibri"/>
          <w:color w:val="1A1A1A"/>
          <w:sz w:val="21"/>
          <w:szCs w:val="21"/>
        </w:rPr>
        <w:t xml:space="preserve">Reserve </w:t>
      </w:r>
      <w:r>
        <w:rPr>
          <w:rFonts w:ascii="Calibri" w:cs="Calibri" w:eastAsia="Calibri" w:hAnsi="Calibri"/>
          <w:b/>
          <w:bCs/>
          <w:color w:val="1A1A1A"/>
          <w:sz w:val="21"/>
          <w:szCs w:val="21"/>
        </w:rPr>
        <w:t xml:space="preserve">30–40 loans from the first three weeks</w:t>
      </w:r>
      <w:r>
        <w:rPr>
          <w:rFonts w:ascii="Calibri" w:cs="Calibri" w:eastAsia="Calibri" w:hAnsi="Calibri"/>
          <w:color w:val="1A1A1A"/>
          <w:sz w:val="21"/>
          <w:szCs w:val="21"/>
        </w:rPr>
        <w:t xml:space="preserve"> as a frozen evaluation set with confirmed human ground truth</w:t>
      </w:r>
    </w:p>
    <w:p>
      <w:pPr>
        <w:pStyle w:val="ListParagraph"/>
        <w:numPr>
          <w:ilvl w:val="0"/>
          <w:numId w:val="3"/>
        </w:numPr>
        <w:spacing w:after="80" w:line="276"/>
      </w:pPr>
      <w:r>
        <w:rPr>
          <w:rFonts w:ascii="Calibri" w:cs="Calibri" w:eastAsia="Calibri" w:hAnsi="Calibri"/>
          <w:color w:val="1A1A1A"/>
          <w:sz w:val="21"/>
          <w:szCs w:val="21"/>
        </w:rPr>
        <w:t xml:space="preserve">Never tune against them, never review them in the weekly loop, never let them influence a change</w:t>
      </w:r>
    </w:p>
    <w:p>
      <w:pPr>
        <w:pStyle w:val="ListParagraph"/>
        <w:numPr>
          <w:ilvl w:val="0"/>
          <w:numId w:val="3"/>
        </w:numPr>
        <w:spacing w:after="80" w:line="276"/>
      </w:pPr>
      <w:r>
        <w:rPr>
          <w:rFonts w:ascii="Calibri" w:cs="Calibri" w:eastAsia="Calibri" w:hAnsi="Calibri"/>
          <w:color w:val="1A1A1A"/>
          <w:sz w:val="21"/>
          <w:szCs w:val="21"/>
        </w:rPr>
        <w:t xml:space="preserve">Re-run the current configuration against them at Day 45, Day 60 and Day 85</w:t>
      </w:r>
    </w:p>
    <w:p>
      <w:pPr>
        <w:pStyle w:val="ListParagraph"/>
        <w:numPr>
          <w:ilvl w:val="0"/>
          <w:numId w:val="3"/>
        </w:numPr>
        <w:spacing w:after="80" w:line="276"/>
      </w:pPr>
      <w:r>
        <w:rPr>
          <w:rFonts w:ascii="Calibri" w:cs="Calibri" w:eastAsia="Calibri" w:hAnsi="Calibri"/>
          <w:color w:val="1A1A1A"/>
          <w:sz w:val="21"/>
          <w:szCs w:val="21"/>
        </w:rPr>
        <w:t xml:space="preserve">The Day-85 result versus the Day-20 result on identical files is </w:t>
      </w:r>
      <w:r>
        <w:rPr>
          <w:rFonts w:ascii="Calibri" w:cs="Calibri" w:eastAsia="Calibri" w:hAnsi="Calibri"/>
          <w:b/>
          <w:bCs/>
          <w:color w:val="1A1A1A"/>
          <w:sz w:val="21"/>
          <w:szCs w:val="21"/>
        </w:rPr>
        <w:t xml:space="preserve">the single cleanest piece of evidence the studio will produce</w:t>
      </w:r>
    </w:p>
    <w:p>
      <w:pPr>
        <w:pStyle w:val="ListParagraph"/>
        <w:numPr>
          <w:ilvl w:val="0"/>
          <w:numId w:val="3"/>
        </w:numPr>
        <w:spacing w:after="80" w:line="276"/>
      </w:pPr>
      <w:r>
        <w:rPr>
          <w:rFonts w:ascii="Calibri" w:cs="Calibri" w:eastAsia="Calibri" w:hAnsi="Calibri"/>
          <w:color w:val="1A1A1A"/>
          <w:sz w:val="21"/>
          <w:szCs w:val="21"/>
        </w:rPr>
        <w:t xml:space="preserve">Keep the holdout representative of the slice, not the easy end of it</w:t>
      </w:r>
    </w:p>
    <w:p>
      <w:pPr>
        <w:spacing w:after="80" w:before="200"/>
      </w:pPr>
      <w:r>
        <w:rPr>
          <w:rFonts w:ascii="Calibri" w:cs="Calibri" w:eastAsia="Calibri" w:hAnsi="Calibri"/>
          <w:b/>
          <w:bCs/>
          <w:color w:val="0E3A4F"/>
          <w:sz w:val="22"/>
          <w:szCs w:val="22"/>
        </w:rPr>
        <w:t xml:space="preserve">What each improvement record must show</w:t>
      </w:r>
    </w:p>
    <w:p>
      <w:pPr>
        <w:pStyle w:val="ListParagraph"/>
        <w:numPr>
          <w:ilvl w:val="0"/>
          <w:numId w:val="4"/>
        </w:numPr>
        <w:spacing w:after="80" w:line="276"/>
      </w:pPr>
      <w:r>
        <w:rPr>
          <w:rFonts w:ascii="Calibri" w:cs="Calibri" w:eastAsia="Calibri" w:hAnsi="Calibri"/>
          <w:color w:val="1A1A1A"/>
          <w:sz w:val="21"/>
          <w:szCs w:val="21"/>
        </w:rPr>
        <w:t xml:space="preserve">What was wrong, evidenced by specific loans from the comparison log.</w:t>
      </w:r>
    </w:p>
    <w:p>
      <w:pPr>
        <w:pStyle w:val="ListParagraph"/>
        <w:numPr>
          <w:ilvl w:val="0"/>
          <w:numId w:val="4"/>
        </w:numPr>
        <w:spacing w:after="80" w:line="276"/>
      </w:pPr>
      <w:r>
        <w:rPr>
          <w:rFonts w:ascii="Calibri" w:cs="Calibri" w:eastAsia="Calibri" w:hAnsi="Calibri"/>
          <w:color w:val="1A1A1A"/>
          <w:sz w:val="21"/>
          <w:szCs w:val="21"/>
        </w:rPr>
        <w:t xml:space="preserve">How often it occurred — frequency across the studio population, not just the observed instances.</w:t>
      </w:r>
    </w:p>
    <w:p>
      <w:pPr>
        <w:pStyle w:val="ListParagraph"/>
        <w:numPr>
          <w:ilvl w:val="0"/>
          <w:numId w:val="4"/>
        </w:numPr>
        <w:spacing w:after="80" w:line="276"/>
      </w:pPr>
      <w:r>
        <w:rPr>
          <w:rFonts w:ascii="Calibri" w:cs="Calibri" w:eastAsia="Calibri" w:hAnsi="Calibri"/>
          <w:color w:val="1A1A1A"/>
          <w:sz w:val="21"/>
          <w:szCs w:val="21"/>
        </w:rPr>
        <w:t xml:space="preserve">What was changed, on which surface, with the version tag.</w:t>
      </w:r>
    </w:p>
    <w:p>
      <w:pPr>
        <w:pStyle w:val="ListParagraph"/>
        <w:numPr>
          <w:ilvl w:val="0"/>
          <w:numId w:val="4"/>
        </w:numPr>
        <w:spacing w:after="80" w:line="276"/>
      </w:pPr>
      <w:r>
        <w:rPr>
          <w:rFonts w:ascii="Calibri" w:cs="Calibri" w:eastAsia="Calibri" w:hAnsi="Calibri"/>
          <w:color w:val="1A1A1A"/>
          <w:sz w:val="21"/>
          <w:szCs w:val="21"/>
        </w:rPr>
        <w:t xml:space="preserve">What was expected to happen, written before the change shipped.</w:t>
      </w:r>
    </w:p>
    <w:p>
      <w:pPr>
        <w:pStyle w:val="ListParagraph"/>
        <w:numPr>
          <w:ilvl w:val="0"/>
          <w:numId w:val="4"/>
        </w:numPr>
        <w:spacing w:after="80" w:line="276"/>
      </w:pPr>
      <w:r>
        <w:rPr>
          <w:rFonts w:ascii="Calibri" w:cs="Calibri" w:eastAsia="Calibri" w:hAnsi="Calibri"/>
          <w:color w:val="1A1A1A"/>
          <w:sz w:val="21"/>
          <w:szCs w:val="21"/>
        </w:rPr>
        <w:t xml:space="preserve">What actually happened, measured on new loans with n stated.</w:t>
      </w:r>
    </w:p>
    <w:p>
      <w:pPr>
        <w:pStyle w:val="ListParagraph"/>
        <w:numPr>
          <w:ilvl w:val="0"/>
          <w:numId w:val="4"/>
        </w:numPr>
        <w:spacing w:after="80" w:line="276"/>
      </w:pPr>
      <w:r>
        <w:rPr>
          <w:rFonts w:ascii="Calibri" w:cs="Calibri" w:eastAsia="Calibri" w:hAnsi="Calibri"/>
          <w:color w:val="1A1A1A"/>
          <w:sz w:val="21"/>
          <w:szCs w:val="21"/>
        </w:rPr>
        <w:t xml:space="preserve">Whether the regression set degraded anywhere.</w:t>
      </w:r>
    </w:p>
    <w:p>
      <w:pPr>
        <w:pStyle w:val="ListParagraph"/>
        <w:numPr>
          <w:ilvl w:val="0"/>
          <w:numId w:val="4"/>
        </w:numPr>
        <w:spacing w:after="80" w:line="276"/>
      </w:pPr>
      <w:r>
        <w:rPr>
          <w:rFonts w:ascii="Calibri" w:cs="Calibri" w:eastAsia="Calibri" w:hAnsi="Calibri"/>
          <w:color w:val="1A1A1A"/>
          <w:sz w:val="21"/>
          <w:szCs w:val="21"/>
        </w:rPr>
        <w:t xml:space="preserve">Verified, reverted or refined — with the date.</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Improvement log — the running record</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995"/>
        <w:gridCol w:w="6365"/>
      </w:tblGrid>
      <w:tr>
        <w:trPr>
          <w:tblHeader/>
        </w:trPr>
        <w:tc>
          <w:tcPr>
            <w:tcW w:type="dxa" w:w="299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Field</w:t>
            </w:r>
          </w:p>
        </w:tc>
        <w:tc>
          <w:tcPr>
            <w:tcW w:type="dxa" w:w="636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Entry</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Improvement ID and date</w:t>
            </w:r>
          </w:p>
        </w:tc>
        <w:tc>
          <w:tcPr>
            <w:tcW w:type="dxa" w:w="636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Problem, with evidencing loan IDs</w:t>
            </w:r>
          </w:p>
        </w:tc>
        <w:tc>
          <w:tcPr>
            <w:tcW w:type="dxa" w:w="636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Frequency before</w:t>
            </w:r>
          </w:p>
        </w:tc>
        <w:tc>
          <w:tcPr>
            <w:tcW w:type="dxa" w:w="636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x per 100 loans</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Change made and version</w:t>
            </w:r>
          </w:p>
        </w:tc>
        <w:tc>
          <w:tcPr>
            <w:tcW w:type="dxa" w:w="636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Expected effect</w:t>
            </w:r>
          </w:p>
        </w:tc>
        <w:tc>
          <w:tcPr>
            <w:tcW w:type="dxa" w:w="636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Stated before shipping</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Frequency after</w:t>
            </w:r>
          </w:p>
        </w:tc>
        <w:tc>
          <w:tcPr>
            <w:tcW w:type="dxa" w:w="636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x per 100 loans, with n</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Statistically conclusive?</w:t>
            </w:r>
          </w:p>
        </w:tc>
        <w:tc>
          <w:tcPr>
            <w:tcW w:type="dxa" w:w="636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Yes / directional only</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Regression impact</w:t>
            </w:r>
          </w:p>
        </w:tc>
        <w:tc>
          <w:tcPr>
            <w:tcW w:type="dxa" w:w="636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None / detail</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Holdout re-run result</w:t>
            </w:r>
          </w:p>
        </w:tc>
        <w:tc>
          <w:tcPr>
            <w:tcW w:type="dxa" w:w="636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Where applicable</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Status and date</w:t>
            </w:r>
          </w:p>
        </w:tc>
        <w:tc>
          <w:tcPr>
            <w:tcW w:type="dxa" w:w="636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Verified / reverted / refined</w:t>
            </w:r>
          </w:p>
        </w:tc>
      </w:tr>
    </w:tbl>
    <w:p>
      <w:pPr>
        <w:spacing w:after="160"/>
      </w:pPr>
    </w:p>
    <w:p>
      <w:pPr>
        <w:spacing w:after="80" w:before="200"/>
      </w:pPr>
      <w:r>
        <w:rPr>
          <w:rFonts w:ascii="Calibri" w:cs="Calibri" w:eastAsia="Calibri" w:hAnsi="Calibri"/>
          <w:b/>
          <w:bCs/>
          <w:color w:val="0E3A4F"/>
          <w:sz w:val="22"/>
          <w:szCs w:val="22"/>
        </w:rPr>
        <w:t xml:space="preserve">Improvement summary — the Gate 4 exhibit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1310"/>
        <w:gridCol w:w="1310"/>
        <w:gridCol w:w="1310"/>
        <w:gridCol w:w="1310"/>
        <w:gridCol w:w="1312"/>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Metric</w:t>
            </w:r>
          </w:p>
        </w:tc>
        <w:tc>
          <w:tcPr>
            <w:tcW w:type="dxa" w:w="131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Day 20</w:t>
            </w:r>
          </w:p>
        </w:tc>
        <w:tc>
          <w:tcPr>
            <w:tcW w:type="dxa" w:w="131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Day 45</w:t>
            </w:r>
          </w:p>
        </w:tc>
        <w:tc>
          <w:tcPr>
            <w:tcW w:type="dxa" w:w="131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Day 60</w:t>
            </w:r>
          </w:p>
        </w:tc>
        <w:tc>
          <w:tcPr>
            <w:tcW w:type="dxa" w:w="131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Day 85</w:t>
            </w:r>
          </w:p>
        </w:tc>
        <w:tc>
          <w:tcPr>
            <w:tcW w:type="dxa" w:w="13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On holdout</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Document recognition accuracy</w:t>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extraction accuracy (weighted)</w:t>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 precision</w:t>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 recall</w:t>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False clear rate</w:t>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Human review time per file</w:t>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 — learning effect</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Override rate</w:t>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 — learning effect</w:t>
            </w:r>
          </w:p>
        </w:tc>
      </w:tr>
    </w:tbl>
    <w:p>
      <w:pPr>
        <w:spacing w:after="160" w:before="80"/>
      </w:pPr>
      <w:r>
        <w:rPr>
          <w:rFonts w:ascii="Calibri" w:cs="Calibri" w:eastAsia="Calibri" w:hAnsi="Calibri"/>
          <w:i/>
          <w:iCs/>
          <w:color w:val="5A6B73"/>
          <w:sz w:val="18"/>
          <w:szCs w:val="18"/>
        </w:rPr>
        <w:t xml:space="preserve">The holdout column is the one that answers "did the product improve, or did we just get used to it?"</w:t>
      </w: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Per change</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Improvement record opened at specification, closed at verification</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Improvement log entry</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Log reviewed in the feedback loop; ageing unverified changes chased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Updated log</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45, 60, 85</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Holdout re-run against current configuration</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Holdout trend</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G2</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Improvement trajectory presented as live-readiness evidence</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Gate 2 exhibit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G4</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Full improvement summary with the three effects separated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Gate 4 exhibit</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Holdout reserved in the first three weeks and never tuned against</w:t>
      </w:r>
    </w:p>
    <w:p>
      <w:pPr>
        <w:pStyle w:val="ListParagraph"/>
        <w:numPr>
          <w:ilvl w:val="0"/>
          <w:numId w:val="3"/>
        </w:numPr>
        <w:spacing w:after="80" w:line="276"/>
      </w:pPr>
      <w:r>
        <w:rPr>
          <w:rFonts w:ascii="Calibri" w:cs="Calibri" w:eastAsia="Calibri" w:hAnsi="Calibri"/>
          <w:color w:val="1A1A1A"/>
          <w:sz w:val="21"/>
          <w:szCs w:val="21"/>
        </w:rPr>
        <w:t xml:space="preserve">Every change has a closed improvement record with measured effect</w:t>
      </w:r>
    </w:p>
    <w:p>
      <w:pPr>
        <w:pStyle w:val="ListParagraph"/>
        <w:numPr>
          <w:ilvl w:val="0"/>
          <w:numId w:val="3"/>
        </w:numPr>
        <w:spacing w:after="80" w:line="276"/>
      </w:pPr>
      <w:r>
        <w:rPr>
          <w:rFonts w:ascii="Calibri" w:cs="Calibri" w:eastAsia="Calibri" w:hAnsi="Calibri"/>
          <w:color w:val="1A1A1A"/>
          <w:sz w:val="21"/>
          <w:szCs w:val="21"/>
        </w:rPr>
        <w:t xml:space="preserve">Tuning, learning and mix effects separated and reported distinctly</w:t>
      </w:r>
    </w:p>
    <w:p>
      <w:pPr>
        <w:pStyle w:val="ListParagraph"/>
        <w:numPr>
          <w:ilvl w:val="0"/>
          <w:numId w:val="3"/>
        </w:numPr>
        <w:spacing w:after="80" w:line="276"/>
      </w:pPr>
      <w:r>
        <w:rPr>
          <w:rFonts w:ascii="Calibri" w:cs="Calibri" w:eastAsia="Calibri" w:hAnsi="Calibri"/>
          <w:color w:val="1A1A1A"/>
          <w:sz w:val="21"/>
          <w:szCs w:val="21"/>
        </w:rPr>
        <w:t xml:space="preserve">Every claim carries n and a conclusive-or-directional label</w:t>
      </w:r>
    </w:p>
    <w:p>
      <w:pPr>
        <w:pStyle w:val="ListParagraph"/>
        <w:numPr>
          <w:ilvl w:val="0"/>
          <w:numId w:val="3"/>
        </w:numPr>
        <w:spacing w:after="80" w:line="276"/>
      </w:pPr>
      <w:r>
        <w:rPr>
          <w:rFonts w:ascii="Calibri" w:cs="Calibri" w:eastAsia="Calibri" w:hAnsi="Calibri"/>
          <w:color w:val="1A1A1A"/>
          <w:sz w:val="21"/>
          <w:szCs w:val="21"/>
        </w:rPr>
        <w:t xml:space="preserve">Reverted and failed changes documented alongside successes</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Improvement log reconstructed at Day 85</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Records opened at specification time; weekly review makes gaps visible immediately</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Holdout contaminated by being used in a weekly review</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Holdout held by the analyst, not accessible in the studio working set</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Learning effect claimed as product improvement</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Holdout re-run isolates it; the split is a mandatory section of the G4 pack</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Only successful changes documented</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Reverted changes are a required section of the gate pack</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Improvement claimed on samples too small to support it</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 and conclusive/directional label mandatory on every claim</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Documenting Improvement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Documenting Improvement</dc:title>
  <dc:creator>Design Studio Program Office</dc:creator>
  <dc:description>Turning a change log into evidence that survives Gate 4.</dc:description>
  <cp:lastModifiedBy>Un-named</cp:lastModifiedBy>
  <cp:revision>1</cp:revision>
  <dcterms:created xsi:type="dcterms:W3CDTF">2026-08-04T00:16:05.115Z</dcterms:created>
  <dcterms:modified xsi:type="dcterms:W3CDTF">2026-08-04T00:16:05.115Z</dcterms:modified>
</cp:coreProperties>
</file>

<file path=docProps/custom.xml><?xml version="1.0" encoding="utf-8"?>
<Properties xmlns="http://schemas.openxmlformats.org/officeDocument/2006/custom-properties" xmlns:vt="http://schemas.openxmlformats.org/officeDocument/2006/docPropsVTypes"/>
</file>