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E8FA3"/>
          <w:spacing w:val="30"/>
          <w:sz w:val="17"/>
          <w:szCs w:val="17"/>
        </w:rPr>
        <w:t xml:space="preserve">EXECUTION — TUNE IN JAZZ  │  ONE-PAGER 17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E3A4F"/>
          <w:sz w:val="40"/>
          <w:szCs w:val="40"/>
        </w:rPr>
        <w:t xml:space="preserve">Next Technology Changes &amp; Build Start</w:t>
      </w:r>
    </w:p>
    <w:p>
      <w:pPr>
        <w:pBdr>
          <w:bottom w:val="single" w:color="1B6B7C" w:sz="12" w:space="8"/>
        </w:pBdr>
        <w:spacing w:after="200"/>
      </w:pPr>
      <w:r>
        <w:rPr>
          <w:rFonts w:ascii="Calibri" w:cs="Calibri" w:eastAsia="Calibri" w:hAnsi="Calibri"/>
          <w:i/>
          <w:iCs/>
          <w:color w:val="5A6B73"/>
          <w:sz w:val="21"/>
          <w:szCs w:val="21"/>
        </w:rPr>
        <w:t xml:space="preserve">Turning studio findings into a costed engineering backlog — and starting the safe parts now.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PURPOSE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To convert what the studio learns into a concrete, costed technology roadmap, and to start building the items that are worth building regardless of the Gate 4 outcome. Without this, the studio ends with a recommendation and no execution path, and the three months of insight decay while a scale plan is written from scratch.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OWNER &amp; RACI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3182"/>
        <w:gridCol w:w="3744"/>
        <w:gridCol w:w="2434"/>
      </w:tblGrid>
      <w:tr>
        <w:trPr>
          <w:tblHeader/>
        </w:trPr>
        <w:tc>
          <w:tcPr>
            <w:tcW w:type="dxa" w:w="318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74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 (fill in at G0)</w:t>
            </w:r>
          </w:p>
        </w:tc>
        <w:tc>
          <w:tcPr>
            <w:tcW w:type="dxa" w:w="243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 / A / C / I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/ Engineering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A — owns the technical roadmap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 — supplies the findings and priorities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 engagement lead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vendor-side roadmap dependencies</w:t>
            </w:r>
          </w:p>
        </w:tc>
      </w:tr>
      <w:tr>
        <w:tc>
          <w:tcPr>
            <w:tcW w:type="dxa" w:w="318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Enterprise architecture</w:t>
            </w:r>
          </w:p>
        </w:tc>
        <w:tc>
          <w:tcPr>
            <w:tcW w:type="dxa" w:w="374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fit with the target state</w:t>
            </w:r>
          </w:p>
        </w:tc>
      </w:tr>
      <w:tr>
        <w:tc>
          <w:tcPr>
            <w:tcW w:type="dxa" w:w="318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  <w:tc>
          <w:tcPr>
            <w:tcW w:type="dxa" w:w="37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43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 — costs the roadmap for the business case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DECISIONS THIS DOCUMENT MAKES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Findings are triaged into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tune / build / vendor / accept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four fundamentally different responses that are routinely conflated.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Build work starts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during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studio only for items that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no-regret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: valuable whether or not Jazz is adopted.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Anything Jazz-specific waits for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Gate 4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a no-go does not strand sunk engineering cost.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roadmap item is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costed and sequenced before Gate 4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so the scale decision is made with a real number rather than an intention.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Vendor roadmap dependencies are </w:t>
      </w: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written into the record with dates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and unconfirmed dependencies are treated as risks, not plans.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THE FRAMEWORK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Triage — four responses, not one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1497"/>
        <w:gridCol w:w="3931"/>
        <w:gridCol w:w="1872"/>
        <w:gridCol w:w="2060"/>
      </w:tblGrid>
      <w:tr>
        <w:trPr>
          <w:tblHeader/>
        </w:trPr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Response</w:t>
            </w:r>
          </w:p>
        </w:tc>
        <w:tc>
          <w:tcPr>
            <w:tcW w:type="dxa" w:w="393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  <w:tc>
          <w:tcPr>
            <w:tcW w:type="dxa" w:w="206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Timing</w:t>
            </w:r>
          </w:p>
        </w:tc>
      </w:tr>
      <w:tr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Tune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Fixable within Jazz configuration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This week</w:t>
            </w:r>
          </w:p>
        </w:tc>
      </w:tr>
      <w:tr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Build</w:t>
            </w:r>
          </w:p>
        </w:tc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Needs work in our systems — integration, data quality, workflow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</w:t>
            </w:r>
          </w:p>
        </w:tc>
        <w:tc>
          <w:tcPr>
            <w:tcW w:type="dxa" w:w="206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now; the rest post-G4</w:t>
            </w:r>
          </w:p>
        </w:tc>
      </w:tr>
      <w:tr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Vendor</w:t>
            </w:r>
          </w:p>
        </w:tc>
        <w:tc>
          <w:tcPr>
            <w:tcW w:type="dxa" w:w="393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Needs a JazzX product change</w:t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JazzX</w:t>
            </w:r>
          </w:p>
        </w:tc>
        <w:tc>
          <w:tcPr>
            <w:tcW w:type="dxa" w:w="20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Their roadmap, tracked with dates</w:t>
            </w:r>
          </w:p>
        </w:tc>
      </w:tr>
      <w:tr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Accept</w:t>
            </w:r>
          </w:p>
        </w:tc>
        <w:tc>
          <w:tcPr>
            <w:tcW w:type="dxa" w:w="393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Not economic to fix; the workflow absorbs it</w:t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</w:t>
            </w:r>
          </w:p>
        </w:tc>
        <w:tc>
          <w:tcPr>
            <w:tcW w:type="dxa" w:w="206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Documented as a limitation</w:t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Misfiling a Build item as a Tune item produces weeks of futile prompt engineering. This triage is worth doing carefully.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No-regret build items — safe to start during the studio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These generally pay for themselves through better data and cleaner process regardless of the Gate 4 outcome, and they are the reason a no-go studio still returns value.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Document capture quality at the source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better scans and better borrower upload guidance improve every downstream process, AI or not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Data quality remediation in the LOS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studio will expose field-level inconsistencies that have been quietly costing money for years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Event instrumentation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the measurement built for the baseline is worth keeping permanently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Document taxonomy standardisation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a consistent naming and classification scheme benefits every system that touches documents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Guideline clarification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— every ambiguity the studio surfaced in trying to encode a rule is a real ambiguity affecting human underwriters today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Wait-for-Gate-4 items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LOS write-back and system-of-record automation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Production-grade integration hardening and scaling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Any workflow redesign predicated on Jazz being present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Jazz-specific monitoring, alerting and support tooling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Expansion of data flows to the vendor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ARTIFACTS &amp; TEMPLATES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Technology roadmap — costed before Gate 4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433"/>
        <w:gridCol w:w="1123"/>
        <w:gridCol w:w="1497"/>
        <w:gridCol w:w="1123"/>
        <w:gridCol w:w="1684"/>
        <w:gridCol w:w="1500"/>
      </w:tblGrid>
      <w:tr>
        <w:trPr>
          <w:tblHeader/>
        </w:trPr>
        <w:tc>
          <w:tcPr>
            <w:tcW w:type="dxa" w:w="243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Triage</w:t>
            </w:r>
          </w:p>
        </w:tc>
        <w:tc>
          <w:tcPr>
            <w:tcW w:type="dxa" w:w="1497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  <w:tc>
          <w:tcPr>
            <w:tcW w:type="dxa" w:w="1123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Effort</w:t>
            </w:r>
          </w:p>
        </w:tc>
        <w:tc>
          <w:tcPr>
            <w:tcW w:type="dxa" w:w="1684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Depends on</w:t>
            </w:r>
          </w:p>
        </w:tc>
        <w:tc>
          <w:tcPr>
            <w:tcW w:type="dxa" w:w="150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Start</w:t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Tune / Build / Vendor / Accept</w:t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H / M / L</w:t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Days</w:t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Now / Post-G4</w:t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43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49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12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Populated continuously from Day 15; costed and sequenced by Day 80 so Gate 4 has a real number.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E3A4F"/>
          <w:sz w:val="22"/>
          <w:szCs w:val="22"/>
        </w:rPr>
        <w:t xml:space="preserve">Vendor roadmap dependencies — track explicitly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995"/>
        <w:gridCol w:w="1872"/>
        <w:gridCol w:w="1872"/>
        <w:gridCol w:w="2621"/>
      </w:tblGrid>
      <w:tr>
        <w:trPr>
          <w:tblHeader/>
        </w:trPr>
        <w:tc>
          <w:tcPr>
            <w:tcW w:type="dxa" w:w="2995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Capability needed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JazzX committed date</w:t>
            </w:r>
          </w:p>
        </w:tc>
        <w:tc>
          <w:tcPr>
            <w:tcW w:type="dxa" w:w="187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Confirmed in writing?</w:t>
            </w:r>
          </w:p>
        </w:tc>
        <w:tc>
          <w:tcPr>
            <w:tcW w:type="dxa" w:w="2621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Fallback if late</w:t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99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187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  <w:tc>
          <w:tcPr>
            <w:tcW w:type="dxa" w:w="262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80"/>
      </w:pPr>
      <w:r>
        <w:rPr>
          <w:rFonts w:ascii="Calibri" w:cs="Calibri" w:eastAsia="Calibri" w:hAnsi="Calibri"/>
          <w:i/>
          <w:iCs/>
          <w:color w:val="5A6B73"/>
          <w:sz w:val="18"/>
          <w:szCs w:val="18"/>
        </w:rPr>
        <w:t xml:space="preserve">An uncommitted vendor date is a risk on the register, never a line in the plan.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CADENCE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059"/>
        <w:gridCol w:w="4492"/>
        <w:gridCol w:w="2809"/>
      </w:tblGrid>
      <w:tr>
        <w:trPr>
          <w:tblHeader/>
        </w:trPr>
        <w:tc>
          <w:tcPr>
            <w:tcW w:type="dxa" w:w="205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449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happens</w:t>
            </w:r>
          </w:p>
        </w:tc>
        <w:tc>
          <w:tcPr>
            <w:tcW w:type="dxa" w:w="2809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Weekly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New findings triaged into the four categories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Updated roadmap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Biweekly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Engineering review of build items with IT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Effort estimates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45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build items started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Work in progress</w:t>
            </w:r>
          </w:p>
        </w:tc>
      </w:tr>
      <w:tr>
        <w:tc>
          <w:tcPr>
            <w:tcW w:type="dxa" w:w="205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70</w:t>
            </w:r>
          </w:p>
        </w:tc>
        <w:tc>
          <w:tcPr>
            <w:tcW w:type="dxa" w:w="449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costed and sequenced</w:t>
            </w:r>
          </w:p>
        </w:tc>
        <w:tc>
          <w:tcPr>
            <w:tcW w:type="dxa" w:w="2809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Draft scale roadmap</w:t>
            </w:r>
          </w:p>
        </w:tc>
      </w:tr>
      <w:tr>
        <w:tc>
          <w:tcPr>
            <w:tcW w:type="dxa" w:w="205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1"/>
                <w:szCs w:val="21"/>
              </w:rPr>
              <w:t xml:space="preserve">Day 80</w:t>
            </w:r>
          </w:p>
        </w:tc>
        <w:tc>
          <w:tcPr>
            <w:tcW w:type="dxa" w:w="449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finalised for the Gate 4 pack</w:t>
            </w:r>
          </w:p>
        </w:tc>
        <w:tc>
          <w:tcPr>
            <w:tcW w:type="dxa" w:w="280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Costed roadmap</w:t>
            </w:r>
          </w:p>
        </w:tc>
      </w:tr>
    </w:tbl>
    <w:p>
      <w:pPr>
        <w:spacing w:after="120"/>
      </w:pP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DEFINITION OF DONE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studio finding triaged into tune / build / vendor / accept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No-regret items started and progressing by Day 45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Full roadmap costed and sequenced before Gate 4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Vendor dependencies documented with dates and written confirmation status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No Jazz-specific engineering committed before the Gate 4 decision</w:t>
      </w:r>
    </w:p>
    <w:p>
      <w:pPr>
        <w:pBdr>
          <w:bottom w:val="single" w:color="C9D6DC" w:sz="6" w:space="6"/>
        </w:pBdr>
        <w:spacing w:after="140" w:before="280"/>
      </w:pPr>
      <w:r>
        <w:rPr>
          <w:rFonts w:ascii="Calibri" w:cs="Calibri" w:eastAsia="Calibri" w:hAnsi="Calibri"/>
          <w:b/>
          <w:bCs/>
          <w:color w:val="1B6B7C"/>
          <w:spacing w:val="20"/>
          <w:sz w:val="20"/>
          <w:szCs w:val="20"/>
        </w:rPr>
        <w:t xml:space="preserve">RISKS &amp; ESCALATION</w:t>
      </w:r>
    </w:p>
    <w:tbl>
      <w:tblPr>
        <w:tblW w:type="dxa" w:w="9360"/>
        <w:tblBorders>
          <w:top w:val="single" w:color="C9D6DC" w:sz="2"/>
          <w:left w:val="single" w:color="C9D6DC" w:sz="2"/>
          <w:bottom w:val="single" w:color="C9D6DC" w:sz="2"/>
          <w:right w:val="single" w:color="C9D6DC" w:sz="2"/>
          <w:insideH w:val="single" w:color="C9D6DC" w:sz="2"/>
          <w:insideV w:val="single" w:color="C9D6DC" w:sz="2"/>
        </w:tblBorders>
      </w:tblPr>
      <w:tblGrid>
        <w:gridCol w:w="2808"/>
        <w:gridCol w:w="4212"/>
        <w:gridCol w:w="2340"/>
      </w:tblGrid>
      <w:tr>
        <w:trPr>
          <w:tblHeader/>
        </w:trPr>
        <w:tc>
          <w:tcPr>
            <w:tcW w:type="dxa" w:w="2808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4212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  <w:tc>
          <w:tcPr>
            <w:tcW w:type="dxa" w:w="2340"/>
            <w:shd w:fill="0E3A4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Escalates to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work starts on Jazz-specific items and is stranded by a no-go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No-regret test applied before any build starts; Steering approves exceptions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Roadmap not costed, so Gate 4 decides on an intention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Costing is a Day 80 deliverable and a Gate 4 evidence requirement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Finance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Vendor roadmap promises treated as plan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Written confirmation required; unconfirmed items sit on the risk register with fallbacks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Studio Lead</w:t>
            </w:r>
          </w:p>
        </w:tc>
      </w:tr>
      <w:tr>
        <w:tc>
          <w:tcPr>
            <w:tcW w:type="dxa" w:w="2808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Build items misfiled as tuning items</w:t>
            </w:r>
          </w:p>
        </w:tc>
        <w:tc>
          <w:tcPr>
            <w:tcW w:type="dxa" w:w="4212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Root-cause discipline in one-pager 15; IT reviews the triage biweekly</w:t>
            </w:r>
          </w:p>
        </w:tc>
        <w:tc>
          <w:tcPr>
            <w:tcW w:type="dxa" w:w="2340"/>
            <w:shd w:fill="F2F6F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  <w:tr>
        <w:tc>
          <w:tcPr>
            <w:tcW w:type="dxa" w:w="28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Data quality work deferred and undermines everything downstream</w:t>
            </w:r>
          </w:p>
        </w:tc>
        <w:tc>
          <w:tcPr>
            <w:tcW w:type="dxa" w:w="421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Explicitly listed as no-regret and started at Day 45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A1A1A"/>
                <w:sz w:val="21"/>
                <w:szCs w:val="21"/>
              </w:rPr>
              <w:t xml:space="preserve">IT lead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C" w:sz="4" w:space="6"/>
      </w:pBdr>
    </w:pPr>
    <w:r>
      <w:rPr>
        <w:rFonts w:ascii="Calibri" w:cs="Calibri" w:eastAsia="Calibri" w:hAnsi="Calibri"/>
        <w:color w:val="5A6B73"/>
        <w:sz w:val="16"/>
        <w:szCs w:val="16"/>
      </w:rPr>
      <w:t xml:space="preserve">JazzX Design Studio — 90-Day Framework  │  Next Technology Changes &amp; Build Start   </w:t>
    </w:r>
    <w:r>
      <w:rPr>
        <w:rFonts w:ascii="Calibri" w:cs="Calibri" w:eastAsia="Calibri" w:hAnsi="Calibri"/>
        <w:color w:val="5A6B73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3" w:hanging="259"/>
      </w:pPr>
      <w:rPr>
        <w:color w:val="1B6B7C"/>
        <w:sz w:val="21"/>
        <w:szCs w:val="21"/>
      </w:rPr>
    </w:lvl>
    <w:lvl w:ilvl="1" w15:tentative="1">
      <w:start w:val="1"/>
      <w:numFmt w:val="bullet"/>
      <w:lvlText w:val="○"/>
      <w:lvlJc w:val="left"/>
      <w:pPr>
        <w:ind w:left="763" w:hanging="259"/>
      </w:pPr>
      <w:rPr>
        <w:color w:val="5A6B73"/>
        <w:sz w:val="21"/>
        <w:szCs w:val="21"/>
      </w:rPr>
    </w:lvl>
    <w:lvl w:ilvl="2" w15:tentative="1">
      <w:start w:val="1"/>
      <w:numFmt w:val="bullet"/>
      <w:lvlText w:val="▪"/>
      <w:lvlJc w:val="left"/>
      <w:pPr>
        <w:ind w:left="1123" w:hanging="259"/>
      </w:pPr>
      <w:rPr>
        <w:color w:val="5A6B73"/>
        <w:sz w:val="21"/>
        <w:szCs w:val="21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  <w:rPr>
        <w:b/>
        <w:bCs/>
        <w:color w:val="1B6B7C"/>
        <w:sz w:val="21"/>
        <w:szCs w:val="21"/>
      </w:rPr>
    </w:lvl>
    <w:lvl w:ilvl="1" w15:tentative="1">
      <w:start w:val="1"/>
      <w:numFmt w:val="lowerLetter"/>
      <w:lvlText w:val="%2."/>
      <w:lvlJc w:val="left"/>
      <w:pPr>
        <w:ind w:left="835" w:hanging="316"/>
      </w:pPr>
      <w:rPr>
        <w:color w:val="5A6B73"/>
        <w:sz w:val="21"/>
        <w:szCs w:val="21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Next Technology Changes &amp; Build Start</dc:title>
  <dc:creator>Design Studio Program Office</dc:creator>
  <dc:description>Turning studio findings into a costed engineering backlog — and starting the safe parts now.</dc:description>
  <cp:lastModifiedBy>Un-named</cp:lastModifiedBy>
  <cp:revision>1</cp:revision>
  <dcterms:created xsi:type="dcterms:W3CDTF">2026-08-04T00:16:05.139Z</dcterms:created>
  <dcterms:modified xsi:type="dcterms:W3CDTF">2026-08-04T00:16:05.139Z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