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TECHNOLOGY — USE CURRENT INTEGRATIONS  │  ONE-PAGER 21</w:t>
      </w:r>
    </w:p>
    <w:p>
      <w:pPr>
        <w:spacing w:after="60"/>
      </w:pPr>
      <w:r>
        <w:rPr>
          <w:rFonts w:ascii="Calibri" w:cs="Calibri" w:eastAsia="Calibri" w:hAnsi="Calibri"/>
          <w:b/>
          <w:bCs/>
          <w:color w:val="0E3A4F"/>
          <w:sz w:val="40"/>
          <w:szCs w:val="40"/>
        </w:rPr>
        <w:t xml:space="preserve">MU (Conditions Management) Integration</w:t>
      </w:r>
    </w:p>
    <w:p>
      <w:pPr>
        <w:pBdr>
          <w:bottom w:val="single" w:color="1B6B7C" w:sz="12" w:space="8"/>
        </w:pBdr>
        <w:spacing w:after="200"/>
      </w:pPr>
      <w:r>
        <w:rPr>
          <w:rFonts w:ascii="Calibri" w:cs="Calibri" w:eastAsia="Calibri" w:hAnsi="Calibri"/>
          <w:i/>
          <w:iCs/>
          <w:color w:val="5A6B73"/>
          <w:sz w:val="21"/>
          <w:szCs w:val="21"/>
        </w:rPr>
        <w:t xml:space="preserve">Where Jazz output actually lands — and the one line that must not be crossed.</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how Jazz interacts with MU, our internal conditions management system. This is the highest-value integration in the studio because conditions are the concrete form Jazz's judgement takes: a condition raised, missed or wrongly cleared is the unit in which quality is measured and in which borrowers experience the result. It is also the integration closest to the borrower, which is why it carries the studio's brightest line.</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condition policy and taxonomy</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 integration engineer</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builds the integration</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Senior underwriter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sole arbiter of whether a condition is correct</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sequencing and scope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borrower-facing implications, adverse action</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system owner</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system of record integrity</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b/>
          <w:bCs/>
          <w:color w:val="1A1A1A"/>
          <w:sz w:val="21"/>
          <w:szCs w:val="21"/>
        </w:rPr>
        <w:t xml:space="preserve">MU remains the single system of record for conditions.</w:t>
      </w:r>
      <w:r>
        <w:rPr>
          <w:rFonts w:ascii="Calibri" w:cs="Calibri" w:eastAsia="Calibri" w:hAnsi="Calibri"/>
          <w:color w:val="1A1A1A"/>
          <w:sz w:val="21"/>
          <w:szCs w:val="21"/>
        </w:rPr>
        <w:t xml:space="preserve"> Jazz never becomes a second source of truth, and no condition exists in Jazz that MU does not know about.</w:t>
      </w:r>
    </w:p>
    <w:p>
      <w:pPr>
        <w:pStyle w:val="ListParagraph"/>
        <w:numPr>
          <w:ilvl w:val="0"/>
          <w:numId w:val="2"/>
        </w:numPr>
        <w:spacing w:after="80" w:line="276"/>
      </w:pPr>
      <w:r>
        <w:rPr>
          <w:rFonts w:ascii="Calibri" w:cs="Calibri" w:eastAsia="Calibri" w:hAnsi="Calibri"/>
          <w:b/>
          <w:bCs/>
          <w:color w:val="1A1A1A"/>
          <w:sz w:val="21"/>
          <w:szCs w:val="21"/>
        </w:rPr>
        <w:t xml:space="preserve">No Jazz-originated condition is ever issued to a borrower without affirmative human acceptance.</w:t>
      </w:r>
      <w:r>
        <w:rPr>
          <w:rFonts w:ascii="Calibri" w:cs="Calibri" w:eastAsia="Calibri" w:hAnsi="Calibri"/>
          <w:color w:val="1A1A1A"/>
          <w:sz w:val="21"/>
          <w:szCs w:val="21"/>
        </w:rPr>
        <w:t xml:space="preserve"> This is the studio's brightest line and it does not move for convenience, volume or velocity.</w:t>
      </w:r>
    </w:p>
    <w:p>
      <w:pPr>
        <w:pStyle w:val="ListParagraph"/>
        <w:numPr>
          <w:ilvl w:val="0"/>
          <w:numId w:val="2"/>
        </w:numPr>
        <w:spacing w:after="80" w:line="276"/>
      </w:pPr>
      <w:r>
        <w:rPr>
          <w:rFonts w:ascii="Calibri" w:cs="Calibri" w:eastAsia="Calibri" w:hAnsi="Calibri"/>
          <w:color w:val="1A1A1A"/>
          <w:sz w:val="21"/>
          <w:szCs w:val="21"/>
        </w:rPr>
        <w:t xml:space="preserve">The integration is built in </w:t>
      </w:r>
      <w:r>
        <w:rPr>
          <w:rFonts w:ascii="Calibri" w:cs="Calibri" w:eastAsia="Calibri" w:hAnsi="Calibri"/>
          <w:b/>
          <w:bCs/>
          <w:color w:val="1A1A1A"/>
          <w:sz w:val="21"/>
          <w:szCs w:val="21"/>
        </w:rPr>
        <w:t xml:space="preserve">two stages, read before write</w:t>
      </w:r>
      <w:r>
        <w:rPr>
          <w:rFonts w:ascii="Calibri" w:cs="Calibri" w:eastAsia="Calibri" w:hAnsi="Calibri"/>
          <w:color w:val="1A1A1A"/>
          <w:sz w:val="21"/>
          <w:szCs w:val="21"/>
        </w:rPr>
        <w:t xml:space="preserve">: MU conditions flow into Jazz first (low risk, immediate value for condition clearing), and Jazz proposals flow to MU only into a review queue, only if approved at G2.</w:t>
      </w:r>
    </w:p>
    <w:p>
      <w:pPr>
        <w:pStyle w:val="ListParagraph"/>
        <w:numPr>
          <w:ilvl w:val="0"/>
          <w:numId w:val="2"/>
        </w:numPr>
        <w:spacing w:after="80" w:line="276"/>
      </w:pPr>
      <w:r>
        <w:rPr>
          <w:rFonts w:ascii="Calibri" w:cs="Calibri" w:eastAsia="Calibri" w:hAnsi="Calibri"/>
          <w:color w:val="1A1A1A"/>
          <w:sz w:val="21"/>
          <w:szCs w:val="21"/>
        </w:rPr>
        <w:t xml:space="preserve">Every condition in MU carries </w:t>
      </w:r>
      <w:r>
        <w:rPr>
          <w:rFonts w:ascii="Calibri" w:cs="Calibri" w:eastAsia="Calibri" w:hAnsi="Calibri"/>
          <w:b/>
          <w:bCs/>
          <w:color w:val="1A1A1A"/>
          <w:sz w:val="21"/>
          <w:szCs w:val="21"/>
        </w:rPr>
        <w:t xml:space="preserve">provenance</w:t>
      </w:r>
      <w:r>
        <w:rPr>
          <w:rFonts w:ascii="Calibri" w:cs="Calibri" w:eastAsia="Calibri" w:hAnsi="Calibri"/>
          <w:color w:val="1A1A1A"/>
          <w:sz w:val="21"/>
          <w:szCs w:val="21"/>
        </w:rPr>
        <w:t xml:space="preserve"> — Jazz-originated, human-originated, or both — because without it the Gate 4 attribution evidence cannot be assembled.</w:t>
      </w:r>
    </w:p>
    <w:p>
      <w:pPr>
        <w:pStyle w:val="ListParagraph"/>
        <w:numPr>
          <w:ilvl w:val="0"/>
          <w:numId w:val="2"/>
        </w:numPr>
        <w:spacing w:after="80" w:line="276"/>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condition taxonomy mapping is the real work.</w:t>
      </w:r>
      <w:r>
        <w:rPr>
          <w:rFonts w:ascii="Calibri" w:cs="Calibri" w:eastAsia="Calibri" w:hAnsi="Calibri"/>
          <w:color w:val="1A1A1A"/>
          <w:sz w:val="21"/>
          <w:szCs w:val="21"/>
        </w:rPr>
        <w:t xml:space="preserve"> It is owned by Underwriting, not by engineering, and it is completed before the integration is built.</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Two surfaces, two different risk profiles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1497"/>
        <w:gridCol w:w="2246"/>
        <w:gridCol w:w="2059"/>
        <w:gridCol w:w="149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Surface</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Direction</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Value</w:t>
            </w:r>
          </w:p>
        </w:tc>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149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Sequence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Conditions into Jazz</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 Jazz</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 — enables the condition clearing use case, which is often larger than the initial underwrite</w:t>
            </w:r>
          </w:p>
        </w:tc>
        <w:tc>
          <w:tcPr>
            <w:tcW w:type="dxa" w:w="205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Low — read-only, no borrower exposure</w:t>
            </w:r>
          </w:p>
        </w:tc>
        <w:tc>
          <w:tcPr>
            <w:tcW w:type="dxa" w:w="149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Stage 1, from Day 1</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Proposals into MU</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 MU</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Medium — saves keying, but the underwriter must review either way</w:t>
            </w:r>
          </w:p>
        </w:tc>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High — closest point to the borrower; adverse-action implications</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Stage 2, only if approved at G2</w:t>
            </w:r>
          </w:p>
        </w:tc>
      </w:tr>
    </w:tbl>
    <w:p>
      <w:pPr>
        <w:spacing w:after="160"/>
      </w:pPr>
    </w:p>
    <w:p>
      <w:pPr>
        <w:spacing w:after="80" w:before="200"/>
      </w:pPr>
      <w:r>
        <w:rPr>
          <w:rFonts w:ascii="Calibri" w:cs="Calibri" w:eastAsia="Calibri" w:hAnsi="Calibri"/>
          <w:b/>
          <w:bCs/>
          <w:color w:val="0E3A4F"/>
          <w:sz w:val="22"/>
          <w:szCs w:val="22"/>
        </w:rPr>
        <w:t xml:space="preserve">The condition lifecycle and where Jazz can plug in</w:t>
      </w:r>
    </w:p>
    <w:p>
      <w:pPr>
        <w:pStyle w:val="ListParagraph"/>
        <w:numPr>
          <w:ilvl w:val="0"/>
          <w:numId w:val="3"/>
        </w:numPr>
        <w:spacing w:after="80" w:line="276"/>
      </w:pPr>
      <w:r>
        <w:rPr>
          <w:rFonts w:ascii="Calibri" w:cs="Calibri" w:eastAsia="Calibri" w:hAnsi="Calibri"/>
          <w:b/>
          <w:bCs/>
          <w:color w:val="1A1A1A"/>
          <w:sz w:val="21"/>
          <w:szCs w:val="21"/>
        </w:rPr>
        <w:t xml:space="preserve">Proposed</w:t>
      </w:r>
      <w:r>
        <w:rPr>
          <w:rFonts w:ascii="Calibri" w:cs="Calibri" w:eastAsia="Calibri" w:hAnsi="Calibri"/>
          <w:color w:val="1A1A1A"/>
          <w:sz w:val="21"/>
          <w:szCs w:val="21"/>
        </w:rPr>
        <w:t xml:space="preserve"> — a condition is identified as necessary. *Jazz can contribute here; a proposal is not an action.*</w:t>
      </w:r>
    </w:p>
    <w:p>
      <w:pPr>
        <w:pStyle w:val="ListParagraph"/>
        <w:numPr>
          <w:ilvl w:val="0"/>
          <w:numId w:val="3"/>
        </w:numPr>
        <w:spacing w:after="80" w:line="276"/>
      </w:pPr>
      <w:r>
        <w:rPr>
          <w:rFonts w:ascii="Calibri" w:cs="Calibri" w:eastAsia="Calibri" w:hAnsi="Calibri"/>
          <w:b/>
          <w:bCs/>
          <w:color w:val="1A1A1A"/>
          <w:sz w:val="21"/>
          <w:szCs w:val="21"/>
        </w:rPr>
        <w:t xml:space="preserve">Reviewed</w:t>
      </w:r>
      <w:r>
        <w:rPr>
          <w:rFonts w:ascii="Calibri" w:cs="Calibri" w:eastAsia="Calibri" w:hAnsi="Calibri"/>
          <w:color w:val="1A1A1A"/>
          <w:sz w:val="21"/>
          <w:szCs w:val="21"/>
        </w:rPr>
        <w:t xml:space="preserve"> — an underwriter accepts, edits or rejects. *The mandatory human step. Nothing passes this point without affirmative acceptance.*</w:t>
      </w:r>
    </w:p>
    <w:p>
      <w:pPr>
        <w:pStyle w:val="ListParagraph"/>
        <w:numPr>
          <w:ilvl w:val="0"/>
          <w:numId w:val="3"/>
        </w:numPr>
        <w:spacing w:after="80" w:line="276"/>
      </w:pPr>
      <w:r>
        <w:rPr>
          <w:rFonts w:ascii="Calibri" w:cs="Calibri" w:eastAsia="Calibri" w:hAnsi="Calibri"/>
          <w:b/>
          <w:bCs/>
          <w:color w:val="1A1A1A"/>
          <w:sz w:val="21"/>
          <w:szCs w:val="21"/>
        </w:rPr>
        <w:t xml:space="preserve">Issued</w:t>
      </w:r>
      <w:r>
        <w:rPr>
          <w:rFonts w:ascii="Calibri" w:cs="Calibri" w:eastAsia="Calibri" w:hAnsi="Calibri"/>
          <w:color w:val="1A1A1A"/>
          <w:sz w:val="21"/>
          <w:szCs w:val="21"/>
        </w:rPr>
        <w:t xml:space="preserve"> — the condition becomes live and is communicated to the borrower or loan officer. *Jazz never reaches this stage directly.*</w:t>
      </w:r>
    </w:p>
    <w:p>
      <w:pPr>
        <w:pStyle w:val="ListParagraph"/>
        <w:numPr>
          <w:ilvl w:val="0"/>
          <w:numId w:val="3"/>
        </w:numPr>
        <w:spacing w:after="80" w:line="276"/>
      </w:pPr>
      <w:r>
        <w:rPr>
          <w:rFonts w:ascii="Calibri" w:cs="Calibri" w:eastAsia="Calibri" w:hAnsi="Calibri"/>
          <w:b/>
          <w:bCs/>
          <w:color w:val="1A1A1A"/>
          <w:sz w:val="21"/>
          <w:szCs w:val="21"/>
        </w:rPr>
        <w:t xml:space="preserve">Documents received</w:t>
      </w:r>
      <w:r>
        <w:rPr>
          <w:rFonts w:ascii="Calibri" w:cs="Calibri" w:eastAsia="Calibri" w:hAnsi="Calibri"/>
          <w:color w:val="1A1A1A"/>
          <w:sz w:val="21"/>
          <w:szCs w:val="21"/>
        </w:rPr>
        <w:t xml:space="preserve"> — the borrower supplies evidence.</w:t>
      </w:r>
    </w:p>
    <w:p>
      <w:pPr>
        <w:pStyle w:val="ListParagraph"/>
        <w:numPr>
          <w:ilvl w:val="0"/>
          <w:numId w:val="3"/>
        </w:numPr>
        <w:spacing w:after="80" w:line="276"/>
      </w:pPr>
      <w:r>
        <w:rPr>
          <w:rFonts w:ascii="Calibri" w:cs="Calibri" w:eastAsia="Calibri" w:hAnsi="Calibri"/>
          <w:b/>
          <w:bCs/>
          <w:color w:val="1A1A1A"/>
          <w:sz w:val="21"/>
          <w:szCs w:val="21"/>
        </w:rPr>
        <w:t xml:space="preserve">Assessed</w:t>
      </w:r>
      <w:r>
        <w:rPr>
          <w:rFonts w:ascii="Calibri" w:cs="Calibri" w:eastAsia="Calibri" w:hAnsi="Calibri"/>
          <w:color w:val="1A1A1A"/>
          <w:sz w:val="21"/>
          <w:szCs w:val="21"/>
        </w:rPr>
        <w:t xml:space="preserve"> — received documents are evaluated against the open condition. *The highest-value place for Jazz, and it requires reading conditions out of MU.*</w:t>
      </w:r>
    </w:p>
    <w:p>
      <w:pPr>
        <w:pStyle w:val="ListParagraph"/>
        <w:numPr>
          <w:ilvl w:val="0"/>
          <w:numId w:val="3"/>
        </w:numPr>
        <w:spacing w:after="80" w:line="276"/>
      </w:pPr>
      <w:r>
        <w:rPr>
          <w:rFonts w:ascii="Calibri" w:cs="Calibri" w:eastAsia="Calibri" w:hAnsi="Calibri"/>
          <w:b/>
          <w:bCs/>
          <w:color w:val="1A1A1A"/>
          <w:sz w:val="21"/>
          <w:szCs w:val="21"/>
        </w:rPr>
        <w:t xml:space="preserve">Cleared or re-conditioned</w:t>
      </w:r>
      <w:r>
        <w:rPr>
          <w:rFonts w:ascii="Calibri" w:cs="Calibri" w:eastAsia="Calibri" w:hAnsi="Calibri"/>
          <w:color w:val="1A1A1A"/>
          <w:sz w:val="21"/>
          <w:szCs w:val="21"/>
        </w:rPr>
        <w:t xml:space="preserve"> — an underwriter decides. *Human step, unchanged.*</w:t>
      </w:r>
    </w:p>
    <w:p>
      <w:pPr>
        <w:spacing w:after="80" w:before="200"/>
      </w:pPr>
      <w:r>
        <w:rPr>
          <w:rFonts w:ascii="Calibri" w:cs="Calibri" w:eastAsia="Calibri" w:hAnsi="Calibri"/>
          <w:b/>
          <w:bCs/>
          <w:color w:val="0E3A4F"/>
          <w:sz w:val="22"/>
          <w:szCs w:val="22"/>
        </w:rPr>
        <w:t xml:space="preserve">Taxonomy mapping — where the effort actually goes</w:t>
      </w:r>
    </w:p>
    <w:p>
      <w:pPr>
        <w:spacing w:after="120" w:line="276"/>
      </w:pPr>
      <w:r>
        <w:rPr>
          <w:rFonts w:ascii="Calibri" w:cs="Calibri" w:eastAsia="Calibri" w:hAnsi="Calibri"/>
          <w:color w:val="1A1A1A"/>
          <w:sz w:val="21"/>
          <w:szCs w:val="21"/>
        </w:rPr>
        <w:t xml:space="preserve">Jazz reasons about conditions in its own terms; MU records them as codes with defined meanings, and those meanings encode years of accumulated credit policy. The mapping between them is not a lookup table someone produces in an afternoon — it is a policy exercise that repeatedly surfaces genuine ambiguity in our own condition definitions.</w:t>
      </w:r>
    </w:p>
    <w:p>
      <w:pPr>
        <w:spacing w:after="120" w:line="276"/>
      </w:pPr>
      <w:r>
        <w:rPr>
          <w:rFonts w:ascii="Calibri" w:cs="Calibri" w:eastAsia="Calibri" w:hAnsi="Calibri"/>
          <w:color w:val="1A1A1A"/>
          <w:sz w:val="21"/>
          <w:szCs w:val="21"/>
        </w:rPr>
        <w:t xml:space="preserve">Treat that as a benefit. Every ambiguity found while mapping is an ambiguity that has been quietly affecting human underwriters all along, and resolving it is a no-regret improvement whatever happens at Gate 4 (see one-pager 17).</w:t>
      </w:r>
    </w:p>
    <w:p>
      <w:pPr>
        <w:pStyle w:val="ListParagraph"/>
        <w:numPr>
          <w:ilvl w:val="0"/>
          <w:numId w:val="4"/>
        </w:numPr>
        <w:spacing w:after="80" w:line="276"/>
      </w:pPr>
      <w:r>
        <w:rPr>
          <w:rFonts w:ascii="Calibri" w:cs="Calibri" w:eastAsia="Calibri" w:hAnsi="Calibri"/>
          <w:color w:val="1A1A1A"/>
          <w:sz w:val="21"/>
          <w:szCs w:val="21"/>
        </w:rPr>
        <w:t xml:space="preserve">Underwriting owns the mapping; engineering implements it</w:t>
      </w:r>
    </w:p>
    <w:p>
      <w:pPr>
        <w:pStyle w:val="ListParagraph"/>
        <w:numPr>
          <w:ilvl w:val="0"/>
          <w:numId w:val="4"/>
        </w:numPr>
        <w:spacing w:after="80" w:line="276"/>
      </w:pPr>
      <w:r>
        <w:rPr>
          <w:rFonts w:ascii="Calibri" w:cs="Calibri" w:eastAsia="Calibri" w:hAnsi="Calibri"/>
          <w:color w:val="1A1A1A"/>
          <w:sz w:val="21"/>
          <w:szCs w:val="21"/>
        </w:rPr>
        <w:t xml:space="preserve">Map at the level of </w:t>
      </w:r>
      <w:r>
        <w:rPr>
          <w:rFonts w:ascii="Calibri" w:cs="Calibri" w:eastAsia="Calibri" w:hAnsi="Calibri"/>
          <w:b/>
          <w:bCs/>
          <w:color w:val="1A1A1A"/>
          <w:sz w:val="21"/>
          <w:szCs w:val="21"/>
        </w:rPr>
        <w:t xml:space="preserve">meaning</w:t>
      </w:r>
      <w:r>
        <w:rPr>
          <w:rFonts w:ascii="Calibri" w:cs="Calibri" w:eastAsia="Calibri" w:hAnsi="Calibri"/>
          <w:color w:val="1A1A1A"/>
          <w:sz w:val="21"/>
          <w:szCs w:val="21"/>
        </w:rPr>
        <w:t xml:space="preserve">, not string similarity — two conditions with similar names may have different evidentiary requirements</w:t>
      </w:r>
    </w:p>
    <w:p>
      <w:pPr>
        <w:pStyle w:val="ListParagraph"/>
        <w:numPr>
          <w:ilvl w:val="0"/>
          <w:numId w:val="4"/>
        </w:numPr>
        <w:spacing w:after="80" w:line="276"/>
      </w:pPr>
      <w:r>
        <w:rPr>
          <w:rFonts w:ascii="Calibri" w:cs="Calibri" w:eastAsia="Calibri" w:hAnsi="Calibri"/>
          <w:color w:val="1A1A1A"/>
          <w:sz w:val="21"/>
          <w:szCs w:val="21"/>
        </w:rPr>
        <w:t xml:space="preserve">Record an explicit "no equivalent" outcome rather than forcing a match; a forced mapping produces confidently wrong output</w:t>
      </w:r>
    </w:p>
    <w:p>
      <w:pPr>
        <w:pStyle w:val="ListParagraph"/>
        <w:numPr>
          <w:ilvl w:val="0"/>
          <w:numId w:val="4"/>
        </w:numPr>
        <w:spacing w:after="80" w:line="276"/>
      </w:pPr>
      <w:r>
        <w:rPr>
          <w:rFonts w:ascii="Calibri" w:cs="Calibri" w:eastAsia="Calibri" w:hAnsi="Calibri"/>
          <w:color w:val="1A1A1A"/>
          <w:sz w:val="21"/>
          <w:szCs w:val="21"/>
        </w:rPr>
        <w:t xml:space="preserve">Version the mapping and treat a change to it as a tuning change under one-pager 15, with regression</w:t>
      </w:r>
    </w:p>
    <w:p>
      <w:pPr>
        <w:pStyle w:val="ListParagraph"/>
        <w:numPr>
          <w:ilvl w:val="0"/>
          <w:numId w:val="4"/>
        </w:numPr>
        <w:spacing w:after="80" w:line="276"/>
      </w:pPr>
      <w:r>
        <w:rPr>
          <w:rFonts w:ascii="Calibri" w:cs="Calibri" w:eastAsia="Calibri" w:hAnsi="Calibri"/>
          <w:color w:val="1A1A1A"/>
          <w:sz w:val="21"/>
          <w:szCs w:val="21"/>
        </w:rPr>
        <w:t xml:space="preserve">Log every ambiguity discovered during mapping as a guideline clarification item</w:t>
      </w:r>
    </w:p>
    <w:p>
      <w:pPr>
        <w:spacing w:after="80" w:before="200"/>
      </w:pPr>
      <w:r>
        <w:rPr>
          <w:rFonts w:ascii="Calibri" w:cs="Calibri" w:eastAsia="Calibri" w:hAnsi="Calibri"/>
          <w:b/>
          <w:bCs/>
          <w:color w:val="0E3A4F"/>
          <w:sz w:val="22"/>
          <w:szCs w:val="22"/>
        </w:rPr>
        <w:t xml:space="preserve">Conflict and duplication rules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931"/>
        <w:gridCol w:w="5429"/>
      </w:tblGrid>
      <w:tr>
        <w:trPr>
          <w:tblHeader/>
        </w:trPr>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Situation</w:t>
            </w:r>
          </w:p>
        </w:tc>
        <w:tc>
          <w:tcPr>
            <w:tcW w:type="dxa" w:w="542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Rule</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proposes a condition already open in MU</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Suppress the proposal; log the match as a Jazz agreement, which is useful precision evidence</w:t>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proposes a condition a human already rejected on this loan</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Suppress and log; repeated occurrences are a tuning item</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proposes a condition with no taxonomy mapping</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Route to the review queue as unmapped; never guess a code</w:t>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condition is cleared in MU while Jazz still shows it open</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wins; Jazz state is refreshed. MU is the system of record, always</w:t>
            </w:r>
          </w:p>
        </w:tc>
      </w:tr>
      <w:tr>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and the underwriter disagree on whether a condition is warranted</w:t>
            </w:r>
          </w:p>
        </w:tc>
        <w:tc>
          <w:tcPr>
            <w:tcW w:type="dxa" w:w="542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underwriter decides; the disagreement is recorded in the comparison log as studio data</w:t>
            </w:r>
          </w:p>
        </w:tc>
      </w:tr>
      <w:tr>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is unavailable</w:t>
            </w:r>
          </w:p>
        </w:tc>
        <w:tc>
          <w:tcPr>
            <w:tcW w:type="dxa" w:w="542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studio path degrades to read-only; no queued proposals accumulate silently</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Integration design record</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369"/>
        <w:gridCol w:w="2995"/>
        <w:gridCol w:w="2996"/>
      </w:tblGrid>
      <w:tr>
        <w:trPr>
          <w:tblHeader/>
        </w:trPr>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Item</w:t>
            </w:r>
          </w:p>
        </w:tc>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Stage 1 (read)</w:t>
            </w:r>
          </w:p>
        </w:tc>
        <w:tc>
          <w:tcPr>
            <w:tcW w:type="dxa" w:w="299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Stage 2 (propose)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Approved at</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G0</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G2 or not at all</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Direction</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 Jazz</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 MU review queue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in scope</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Open conditions, status, codes</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Proposed conditions with rationale</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Interface pattern</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Refresh frequency / trigger</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Provenance recorded</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Required</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Acceptance mechanism</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Affirmative, logged, never defaulted</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Borrower exposure</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None</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None before human acceptance</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Removal path if no-go</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spacing w:after="80" w:before="200"/>
      </w:pPr>
      <w:r>
        <w:rPr>
          <w:rFonts w:ascii="Calibri" w:cs="Calibri" w:eastAsia="Calibri" w:hAnsi="Calibri"/>
          <w:b/>
          <w:bCs/>
          <w:color w:val="0E3A4F"/>
          <w:sz w:val="22"/>
          <w:szCs w:val="22"/>
        </w:rPr>
        <w:t xml:space="preserve">Condition-level metrics — the studio's core quality evidence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620"/>
        <w:gridCol w:w="3931"/>
        <w:gridCol w:w="2809"/>
      </w:tblGrid>
      <w:tr>
        <w:trPr>
          <w:tblHeader/>
        </w:trPr>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Metric</w:t>
            </w:r>
          </w:p>
        </w:tc>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Definition</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Feeds</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 precision</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Jazz-proposed conditions an underwriter agrees were warranted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One-pager 05 quality family</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 recall</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Warranted conditions Jazz proposed ÷ all warranted conditions</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One-pager 05; the credit-risk metric</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False clear rate</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Loans where Jazz raised nothing but a human found a material issue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Must-pass criterion at G4</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Clearing accuracy</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Received documents correctly assessed against the open condition</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Stage 1 value case</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Duplicate suppression rate</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Proposals suppressed as already open</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Agreement evidence</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Unmapped proposal rate</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Proposals with no taxonomy equivalent</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Mapping completeness</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Taxonomy mapping drafted by Underwriting</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Mapping v1</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Stage 1 read integration built and validated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Conditions flowing into Jazz</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Mapping gaps and unmapped proposals reviewed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Mapping updates, guideline items</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Condition-level metrics reported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Quality trend</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45</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Stage 2 position drafted with evidence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Draft recommendation</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G2</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Stage 2 decision by Steering with Compliance sign-off</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Decision record</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4"/>
        </w:numPr>
        <w:spacing w:after="80" w:line="276"/>
      </w:pPr>
      <w:r>
        <w:rPr>
          <w:rFonts w:ascii="Calibri" w:cs="Calibri" w:eastAsia="Calibri" w:hAnsi="Calibri"/>
          <w:color w:val="1A1A1A"/>
          <w:sz w:val="21"/>
          <w:szCs w:val="21"/>
        </w:rPr>
        <w:t xml:space="preserve">MU remains the sole system of record for conditions throughout</w:t>
      </w:r>
    </w:p>
    <w:p>
      <w:pPr>
        <w:pStyle w:val="ListParagraph"/>
        <w:numPr>
          <w:ilvl w:val="0"/>
          <w:numId w:val="4"/>
        </w:numPr>
        <w:spacing w:after="80" w:line="276"/>
      </w:pPr>
      <w:r>
        <w:rPr>
          <w:rFonts w:ascii="Calibri" w:cs="Calibri" w:eastAsia="Calibri" w:hAnsi="Calibri"/>
          <w:color w:val="1A1A1A"/>
          <w:sz w:val="21"/>
          <w:szCs w:val="21"/>
        </w:rPr>
        <w:t xml:space="preserve">Taxonomy mapping complete, owned by Underwriting, versioned and regression-tested</w:t>
      </w:r>
    </w:p>
    <w:p>
      <w:pPr>
        <w:pStyle w:val="ListParagraph"/>
        <w:numPr>
          <w:ilvl w:val="0"/>
          <w:numId w:val="4"/>
        </w:numPr>
        <w:spacing w:after="80" w:line="276"/>
      </w:pPr>
      <w:r>
        <w:rPr>
          <w:rFonts w:ascii="Calibri" w:cs="Calibri" w:eastAsia="Calibri" w:hAnsi="Calibri"/>
          <w:color w:val="1A1A1A"/>
          <w:sz w:val="21"/>
          <w:szCs w:val="21"/>
        </w:rPr>
        <w:t xml:space="preserve">No Jazz-originated condition issued to any borrower without affirmative human acceptance</w:t>
      </w:r>
    </w:p>
    <w:p>
      <w:pPr>
        <w:pStyle w:val="ListParagraph"/>
        <w:numPr>
          <w:ilvl w:val="0"/>
          <w:numId w:val="4"/>
        </w:numPr>
        <w:spacing w:after="80" w:line="276"/>
      </w:pPr>
      <w:r>
        <w:rPr>
          <w:rFonts w:ascii="Calibri" w:cs="Calibri" w:eastAsia="Calibri" w:hAnsi="Calibri"/>
          <w:color w:val="1A1A1A"/>
          <w:sz w:val="21"/>
          <w:szCs w:val="21"/>
        </w:rPr>
        <w:t xml:space="preserve">Provenance recorded on every condition touched by the studio</w:t>
      </w:r>
    </w:p>
    <w:p>
      <w:pPr>
        <w:pStyle w:val="ListParagraph"/>
        <w:numPr>
          <w:ilvl w:val="0"/>
          <w:numId w:val="4"/>
        </w:numPr>
        <w:spacing w:after="80" w:line="276"/>
      </w:pPr>
      <w:r>
        <w:rPr>
          <w:rFonts w:ascii="Calibri" w:cs="Calibri" w:eastAsia="Calibri" w:hAnsi="Calibri"/>
          <w:color w:val="1A1A1A"/>
          <w:sz w:val="21"/>
          <w:szCs w:val="21"/>
        </w:rPr>
        <w:t xml:space="preserve">Condition-level metrics available weekly and feeding the Gate 4 evidence pack</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Jazz-proposed condition reaches a borrower without human acceptance</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Architectural separation — proposals land in a review queue with no path to issuance; acceptance is affirmative and logged</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Two sources of truth for conditions emerge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wins by rule in every conflict; Jazz state is refreshed from MU, never the reverse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 system owner</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Taxonomy mapping done by engineering on string similarity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Owned by Underwriting; unmapped is a valid and expected outcome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Mapping ambiguities papered over rather than escalated</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Every ambiguity logged as a guideline clarification item and reported at gates</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Stage 2 built early because it is the interesting problem</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Stage 2 is gated at G2 by charter; Stage 1 delivers most of the value and all of the clearing use case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Provenance omitted, making Gate 4 attribution impossible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Provenance is a build requirement for Stage 1 as well as Stage 2</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MU (Conditions Management) Integration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 (Conditions Management) Integration</dc:title>
  <dc:creator>Design Studio Program Office</dc:creator>
  <dc:description>Where Jazz output actually lands — and the one line that must not be crossed.</dc:description>
  <cp:lastModifiedBy>Un-named</cp:lastModifiedBy>
  <cp:revision>1</cp:revision>
  <dcterms:created xsi:type="dcterms:W3CDTF">2026-08-04T00:16:05.249Z</dcterms:created>
  <dcterms:modified xsi:type="dcterms:W3CDTF">2026-08-04T00:16:05.249Z</dcterms:modified>
</cp:coreProperties>
</file>

<file path=docProps/custom.xml><?xml version="1.0" encoding="utf-8"?>
<Properties xmlns="http://schemas.openxmlformats.org/officeDocument/2006/custom-properties" xmlns:vt="http://schemas.openxmlformats.org/officeDocument/2006/docPropsVTypes"/>
</file>