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3E8FA3"/>
          <w:spacing w:val="30"/>
          <w:sz w:val="17"/>
          <w:szCs w:val="17"/>
        </w:rPr>
        <w:t xml:space="preserve">TECHNOLOGY — DEPLOY TECHNOLOGY CHANGES  │  ONE-PAGER 22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E3A4F"/>
          <w:sz w:val="40"/>
          <w:szCs w:val="40"/>
        </w:rPr>
        <w:t xml:space="preserve">Minimum-Change Deployment to Production</w:t>
      </w:r>
    </w:p>
    <w:p>
      <w:pPr>
        <w:pBdr>
          <w:bottom w:val="single" w:color="1B6B7C" w:sz="12" w:space="8"/>
        </w:pBdr>
        <w:spacing w:after="200"/>
      </w:pPr>
      <w:r>
        <w:rPr>
          <w:rFonts w:ascii="Calibri" w:cs="Calibri" w:eastAsia="Calibri" w:hAnsi="Calibri"/>
          <w:i/>
          <w:iCs/>
          <w:color w:val="5A6B73"/>
          <w:sz w:val="21"/>
          <w:szCs w:val="21"/>
        </w:rPr>
        <w:t xml:space="preserve">Every change we make is permanent if the answer at Day 90 is no.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PURPOSE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To define how the studio reaches production with the smallest possible permanent footprint. The studio needs real loans, which means real production data, which means real integration — while simultaneously needing to leave almost nothing behind if the Gate 4 answer is no. This document resolves that tension deliberately rather than letting engineering convenience resolve it by accident.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OWNER &amp; RACI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3182"/>
        <w:gridCol w:w="3744"/>
        <w:gridCol w:w="2434"/>
      </w:tblGrid>
      <w:tr>
        <w:trPr>
          <w:tblHeader/>
        </w:trPr>
        <w:tc>
          <w:tcPr>
            <w:tcW w:type="dxa" w:w="318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3744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Who (fill in at G0)</w:t>
            </w:r>
          </w:p>
        </w:tc>
        <w:tc>
          <w:tcPr>
            <w:tcW w:type="dxa" w:w="2434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 / A / C / I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IT / Engineering lead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 — owns the deployment and its footprint</w:t>
            </w:r>
          </w:p>
        </w:tc>
      </w:tr>
      <w:tr>
        <w:tc>
          <w:tcPr>
            <w:tcW w:type="dxa" w:w="318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Enterprise architecture</w:t>
            </w:r>
          </w:p>
        </w:tc>
        <w:tc>
          <w:tcPr>
            <w:tcW w:type="dxa" w:w="374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 — coupling and target-state fit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InfoSec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 — production data access approval</w:t>
            </w:r>
          </w:p>
        </w:tc>
      </w:tr>
      <w:tr>
        <w:tc>
          <w:tcPr>
            <w:tcW w:type="dxa" w:w="318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Lead</w:t>
            </w:r>
          </w:p>
        </w:tc>
        <w:tc>
          <w:tcPr>
            <w:tcW w:type="dxa" w:w="374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 — holds the minimum-change discipline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Steering Committee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 — approves any exception</w:t>
            </w:r>
          </w:p>
        </w:tc>
      </w:tr>
      <w:tr>
        <w:tc>
          <w:tcPr>
            <w:tcW w:type="dxa" w:w="318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Head of Operations</w:t>
            </w:r>
          </w:p>
        </w:tc>
        <w:tc>
          <w:tcPr>
            <w:tcW w:type="dxa" w:w="374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 — support model and incident impact</w:t>
            </w:r>
          </w:p>
        </w:tc>
      </w:tr>
    </w:tbl>
    <w:p>
      <w:pPr>
        <w:spacing w:after="120"/>
      </w:pP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DECISIONS THIS DOCUMENT MAKES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 governing test for every proposed change is: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would we keep this if Jazz went away tomorrow?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Yes means build it; no means find the smallest reversible version.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 studio deploys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additively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. No changes to the LOS schema, no changes to the credit decision path, no new system of record, no modification of existing workflow logic.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Production access is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read-only and narrowly scoped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which is what allows real-loan evidence without a production-grade write integration.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Every change carries a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stated removal cost and removal path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recorded before it is built, so Gate 4 knows the stranded cost of a no-go.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Production-grade hardening is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explicitly deferred to the scale phase.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The studio is not a soft launch and should not be engineered as one.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THE FRAMEWORK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The three tiers of change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1684"/>
        <w:gridCol w:w="2620"/>
        <w:gridCol w:w="1684"/>
        <w:gridCol w:w="3372"/>
      </w:tblGrid>
      <w:tr>
        <w:trPr>
          <w:tblHeader/>
        </w:trPr>
        <w:tc>
          <w:tcPr>
            <w:tcW w:type="dxa" w:w="1684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Tier</w:t>
            </w:r>
          </w:p>
        </w:tc>
        <w:tc>
          <w:tcPr>
            <w:tcW w:type="dxa" w:w="2620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Meaning</w:t>
            </w:r>
          </w:p>
        </w:tc>
        <w:tc>
          <w:tcPr>
            <w:tcW w:type="dxa" w:w="1684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Approval</w:t>
            </w:r>
          </w:p>
        </w:tc>
        <w:tc>
          <w:tcPr>
            <w:tcW w:type="dxa" w:w="337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Examples</w:t>
            </w:r>
          </w:p>
        </w:tc>
      </w:tr>
      <w:tr>
        <w:tc>
          <w:tcPr>
            <w:tcW w:type="dxa" w:w="168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Configure</w:t>
            </w:r>
          </w:p>
        </w:tc>
        <w:tc>
          <w:tcPr>
            <w:tcW w:type="dxa" w:w="26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Existing capability, new settings. Reversible in minutes</w:t>
            </w:r>
          </w:p>
        </w:tc>
        <w:tc>
          <w:tcPr>
            <w:tcW w:type="dxa" w:w="168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IT lead</w:t>
            </w:r>
          </w:p>
        </w:tc>
        <w:tc>
          <w:tcPr>
            <w:tcW w:type="dxa" w:w="33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Cohort tag on existing fields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Entitlements for studio users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Monitoring and alert rules</w:t>
            </w:r>
          </w:p>
        </w:tc>
      </w:tr>
      <w:tr>
        <w:tc>
          <w:tcPr>
            <w:tcW w:type="dxa" w:w="168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Build — no-regret</w:t>
            </w:r>
          </w:p>
        </w:tc>
        <w:tc>
          <w:tcPr>
            <w:tcW w:type="dxa" w:w="262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New work we would keep regardless of the Jazz outcome</w:t>
            </w:r>
          </w:p>
        </w:tc>
        <w:tc>
          <w:tcPr>
            <w:tcW w:type="dxa" w:w="168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IT lead</w:t>
            </w:r>
          </w:p>
        </w:tc>
        <w:tc>
          <w:tcPr>
            <w:tcW w:type="dxa" w:w="337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Document capture quality improvements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Event instrumentation for the baseline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Data quality remediation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Document taxonomy standardisation</w:t>
            </w:r>
          </w:p>
        </w:tc>
      </w:tr>
      <w:tr>
        <w:tc>
          <w:tcPr>
            <w:tcW w:type="dxa" w:w="168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Build — Jazz-specific</w:t>
            </w:r>
          </w:p>
        </w:tc>
        <w:tc>
          <w:tcPr>
            <w:tcW w:type="dxa" w:w="26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New work that is worthless if we stop</w:t>
            </w:r>
          </w:p>
        </w:tc>
        <w:tc>
          <w:tcPr>
            <w:tcW w:type="dxa" w:w="168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Steering, by exception only</w:t>
            </w:r>
          </w:p>
        </w:tc>
        <w:tc>
          <w:tcPr>
            <w:tcW w:type="dxa" w:w="33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The trigger and extraction path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Any write-back mechanism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Jazz-specific monitoring</w:t>
            </w:r>
          </w:p>
        </w:tc>
      </w:tr>
    </w:tbl>
    <w:p>
      <w:pPr>
        <w:spacing w:after="160" w:before="80"/>
      </w:pPr>
      <w:r>
        <w:rPr>
          <w:rFonts w:ascii="Calibri" w:cs="Calibri" w:eastAsia="Calibri" w:hAnsi="Calibri"/>
          <w:i/>
          <w:iCs/>
          <w:color w:val="5A6B73"/>
          <w:sz w:val="18"/>
          <w:szCs w:val="18"/>
        </w:rPr>
        <w:t xml:space="preserve">Jazz-specific build is unavoidable — the studio cannot run without a trigger and an extraction path. The discipline is keeping that list short, reversible, and explicitly costed rather than allowing it to grow quietly.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Resolving the real-data tension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 studio needs production loans; minimum-change argues against production integration. These are reconciled by separating read access from write capability rather than by separating production from non-production.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Read from production, write nowhere.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A narrow, audited, read-only path carries the full evidentiary value of real loans while requiring none of the safeguards a write path demands.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No synthetic or masked data for the primary cohort.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Masking degrades documents in exactly the ways that break document recognition, and the resulting accuracy numbers would not transfer.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 non-production environment for regression and testing.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The holdout and regression runs (one-pager 16) do not need production; only the live cohort does.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Blast radius of zero.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If every studio component fails simultaneously, the standard workflow is unaffected. That property is what makes a lightweight support model defensible.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Deliberately not building during the studio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Publishing this list is what keeps the footprint small. Each item is a legitimate scale-phase requirement, deferred rather than rejected.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High availability, failover, and production SLAs for the Jazz path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LOS write-back and system-of-record automation (see one-pager 20)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Auto-issuance of conditions to borrowers (see one-pager 21)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Workflow redesign predicated on Jazz being present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Self-service onboarding and user administration beyond the studio team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Performance optimisation beyond the agreed latency target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Integration with pricing, marketing, servicing, or post-close systems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Bulk historical reprocessing beyond the holdout and regression sets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Support model — define what "broken" means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 studio is not production-critical, and pretending otherwise imports a support burden the value does not yet justify. Say so explicitly, so that when something breaks at 6pm the response is proportionate and pre-agreed.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2808"/>
        <w:gridCol w:w="3182"/>
        <w:gridCol w:w="3370"/>
      </w:tblGrid>
      <w:tr>
        <w:trPr>
          <w:tblHeader/>
        </w:trPr>
        <w:tc>
          <w:tcPr>
            <w:tcW w:type="dxa" w:w="2808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Failure</w:t>
            </w:r>
          </w:p>
        </w:tc>
        <w:tc>
          <w:tcPr>
            <w:tcW w:type="dxa" w:w="318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Impact</w:t>
            </w:r>
          </w:p>
        </w:tc>
        <w:tc>
          <w:tcPr>
            <w:tcW w:type="dxa" w:w="3370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Response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Jazz unavailable</w:t>
            </w:r>
          </w:p>
        </w:tc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loans process normally without comparison data</w:t>
            </w:r>
          </w:p>
        </w:tc>
        <w:tc>
          <w:tcPr>
            <w:tcW w:type="dxa" w:w="337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Next business day; affected loans flagged for exclusion</w:t>
            </w:r>
          </w:p>
        </w:tc>
      </w:tr>
      <w:tr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Trigger failing</w:t>
            </w:r>
          </w:p>
        </w:tc>
        <w:tc>
          <w:tcPr>
            <w:tcW w:type="dxa" w:w="318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Cohort under-fills</w:t>
            </w:r>
          </w:p>
        </w:tc>
        <w:tc>
          <w:tcPr>
            <w:tcW w:type="dxa" w:w="337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Same business day — sample is at risk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Extraction degraded (partial documents)</w:t>
            </w:r>
          </w:p>
        </w:tc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Silent quality corruption</w:t>
            </w:r>
          </w:p>
        </w:tc>
        <w:tc>
          <w:tcPr>
            <w:tcW w:type="dxa" w:w="337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Immediate — this is the one that misleads rather than merely stopping</w:t>
            </w:r>
          </w:p>
        </w:tc>
      </w:tr>
      <w:tr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MU read failing</w:t>
            </w:r>
          </w:p>
        </w:tc>
        <w:tc>
          <w:tcPr>
            <w:tcW w:type="dxa" w:w="318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Clearing use case unavailable</w:t>
            </w:r>
          </w:p>
        </w:tc>
        <w:tc>
          <w:tcPr>
            <w:tcW w:type="dxa" w:w="337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Next business day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Any borrower-facing impact</w:t>
            </w:r>
          </w:p>
        </w:tc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Sev 1 per one-pager 02</w:t>
            </w:r>
          </w:p>
        </w:tc>
        <w:tc>
          <w:tcPr>
            <w:tcW w:type="dxa" w:w="337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Immediate; studio pauses by default</w:t>
            </w:r>
          </w:p>
        </w:tc>
      </w:tr>
    </w:tbl>
    <w:p>
      <w:pPr>
        <w:spacing w:after="160" w:before="80"/>
      </w:pPr>
      <w:r>
        <w:rPr>
          <w:rFonts w:ascii="Calibri" w:cs="Calibri" w:eastAsia="Calibri" w:hAnsi="Calibri"/>
          <w:i/>
          <w:iCs/>
          <w:color w:val="5A6B73"/>
          <w:sz w:val="18"/>
          <w:szCs w:val="18"/>
        </w:rPr>
        <w:t xml:space="preserve">Degraded extraction outranks total failure. An outage is visible and self-correcting; partial data quietly produces wrong evidence.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ARTIFACTS &amp; TEMPLATES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Change register — every change recorded before it is built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2620"/>
        <w:gridCol w:w="1310"/>
        <w:gridCol w:w="1684"/>
        <w:gridCol w:w="2059"/>
        <w:gridCol w:w="1687"/>
      </w:tblGrid>
      <w:tr>
        <w:trPr>
          <w:tblHeader/>
        </w:trPr>
        <w:tc>
          <w:tcPr>
            <w:tcW w:type="dxa" w:w="2620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Change</w:t>
            </w:r>
          </w:p>
        </w:tc>
        <w:tc>
          <w:tcPr>
            <w:tcW w:type="dxa" w:w="1310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Tier</w:t>
            </w:r>
          </w:p>
        </w:tc>
        <w:tc>
          <w:tcPr>
            <w:tcW w:type="dxa" w:w="1684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Keep if Jazz goes away?</w:t>
            </w:r>
          </w:p>
        </w:tc>
        <w:tc>
          <w:tcPr>
            <w:tcW w:type="dxa" w:w="2059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Removal path</w:t>
            </w:r>
          </w:p>
        </w:tc>
        <w:tc>
          <w:tcPr>
            <w:tcW w:type="dxa" w:w="1687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Removal cost</w:t>
            </w:r>
          </w:p>
        </w:tc>
      </w:tr>
      <w:tr>
        <w:tc>
          <w:tcPr>
            <w:tcW w:type="dxa" w:w="26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31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Config / No-regret / Jazz-specific</w:t>
            </w:r>
          </w:p>
        </w:tc>
        <w:tc>
          <w:tcPr>
            <w:tcW w:type="dxa" w:w="168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Yes / No</w:t>
            </w:r>
          </w:p>
        </w:tc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68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62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31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68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05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687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6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31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68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68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62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31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68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05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687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</w:tbl>
    <w:p>
      <w:pPr>
        <w:spacing w:after="160" w:before="80"/>
      </w:pPr>
      <w:r>
        <w:rPr>
          <w:rFonts w:ascii="Calibri" w:cs="Calibri" w:eastAsia="Calibri" w:hAnsi="Calibri"/>
          <w:i/>
          <w:iCs/>
          <w:color w:val="5A6B73"/>
          <w:sz w:val="18"/>
          <w:szCs w:val="18"/>
        </w:rPr>
        <w:t xml:space="preserve">Totalled at Day 80 and carried into the Gate 4 pack as the stranded cost of a no-go — a number the decision is entitled to know.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Minimum viable monitoring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3182"/>
        <w:gridCol w:w="3744"/>
        <w:gridCol w:w="2434"/>
      </w:tblGrid>
      <w:tr>
        <w:trPr>
          <w:tblHeader/>
        </w:trPr>
        <w:tc>
          <w:tcPr>
            <w:tcW w:type="dxa" w:w="318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Signal</w:t>
            </w:r>
          </w:p>
        </w:tc>
        <w:tc>
          <w:tcPr>
            <w:tcW w:type="dxa" w:w="3744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Alerts when</w:t>
            </w:r>
          </w:p>
        </w:tc>
        <w:tc>
          <w:tcPr>
            <w:tcW w:type="dxa" w:w="2434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Owner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Trigger send success rate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Below 99% over a day</w:t>
            </w:r>
          </w:p>
        </w:tc>
        <w:tc>
          <w:tcPr>
            <w:tcW w:type="dxa" w:w="243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IT</w:t>
            </w:r>
          </w:p>
        </w:tc>
      </w:tr>
      <w:tr>
        <w:tc>
          <w:tcPr>
            <w:tcW w:type="dxa" w:w="318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Extraction reconciliation exceptions</w:t>
            </w:r>
          </w:p>
        </w:tc>
        <w:tc>
          <w:tcPr>
            <w:tcW w:type="dxa" w:w="374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Any mismatch in page or field count</w:t>
            </w:r>
          </w:p>
        </w:tc>
        <w:tc>
          <w:tcPr>
            <w:tcW w:type="dxa" w:w="243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IT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Time from trigger to Jazz output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Beyond the agreed latency target</w:t>
            </w:r>
          </w:p>
        </w:tc>
        <w:tc>
          <w:tcPr>
            <w:tcW w:type="dxa" w:w="243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IT</w:t>
            </w:r>
          </w:p>
        </w:tc>
      </w:tr>
      <w:tr>
        <w:tc>
          <w:tcPr>
            <w:tcW w:type="dxa" w:w="318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Cohort fill rate vs. plan</w:t>
            </w:r>
          </w:p>
        </w:tc>
        <w:tc>
          <w:tcPr>
            <w:tcW w:type="dxa" w:w="374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Weekly shortfall against the sample trajectory</w:t>
            </w:r>
          </w:p>
        </w:tc>
        <w:tc>
          <w:tcPr>
            <w:tcW w:type="dxa" w:w="243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Lead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Auth and credential expiry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14 days before expiry</w:t>
            </w:r>
          </w:p>
        </w:tc>
        <w:tc>
          <w:tcPr>
            <w:tcW w:type="dxa" w:w="243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IT</w:t>
            </w:r>
          </w:p>
        </w:tc>
      </w:tr>
      <w:tr>
        <w:tc>
          <w:tcPr>
            <w:tcW w:type="dxa" w:w="318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Any write attempt (should be zero)</w:t>
            </w:r>
          </w:p>
        </w:tc>
        <w:tc>
          <w:tcPr>
            <w:tcW w:type="dxa" w:w="374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Immediately, always</w:t>
            </w:r>
          </w:p>
        </w:tc>
        <w:tc>
          <w:tcPr>
            <w:tcW w:type="dxa" w:w="243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InfoSec</w:t>
            </w:r>
          </w:p>
        </w:tc>
      </w:tr>
    </w:tbl>
    <w:p>
      <w:pPr>
        <w:spacing w:after="160" w:before="80"/>
      </w:pPr>
      <w:r>
        <w:rPr>
          <w:rFonts w:ascii="Calibri" w:cs="Calibri" w:eastAsia="Calibri" w:hAnsi="Calibri"/>
          <w:i/>
          <w:iCs/>
          <w:color w:val="5A6B73"/>
          <w:sz w:val="18"/>
          <w:szCs w:val="18"/>
        </w:rPr>
        <w:t xml:space="preserve">The last row is a tripwire, not a metric. During shadow it should never fire, and if it does, the studio pauses.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CADENCE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2059"/>
        <w:gridCol w:w="4492"/>
        <w:gridCol w:w="2809"/>
      </w:tblGrid>
      <w:tr>
        <w:trPr>
          <w:tblHeader/>
        </w:trPr>
        <w:tc>
          <w:tcPr>
            <w:tcW w:type="dxa" w:w="2059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When</w:t>
            </w:r>
          </w:p>
        </w:tc>
        <w:tc>
          <w:tcPr>
            <w:tcW w:type="dxa" w:w="449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happens</w:t>
            </w:r>
          </w:p>
        </w:tc>
        <w:tc>
          <w:tcPr>
            <w:tcW w:type="dxa" w:w="2809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Output</w:t>
            </w:r>
          </w:p>
        </w:tc>
      </w:tr>
      <w:tr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Pre-G0</w:t>
            </w:r>
          </w:p>
        </w:tc>
        <w:tc>
          <w:tcPr>
            <w:tcW w:type="dxa" w:w="449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Change register populated; production read access approved</w:t>
            </w:r>
          </w:p>
        </w:tc>
        <w:tc>
          <w:tcPr>
            <w:tcW w:type="dxa" w:w="280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Approved footprint</w:t>
            </w:r>
          </w:p>
        </w:tc>
      </w:tr>
      <w:tr>
        <w:tc>
          <w:tcPr>
            <w:tcW w:type="dxa" w:w="205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Pre-G0</w:t>
            </w:r>
          </w:p>
        </w:tc>
        <w:tc>
          <w:tcPr>
            <w:tcW w:type="dxa" w:w="449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Deployment executed; blast radius verified by test</w:t>
            </w:r>
          </w:p>
        </w:tc>
        <w:tc>
          <w:tcPr>
            <w:tcW w:type="dxa" w:w="280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Working studio path</w:t>
            </w:r>
          </w:p>
        </w:tc>
      </w:tr>
      <w:tr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Weekly</w:t>
            </w:r>
          </w:p>
        </w:tc>
        <w:tc>
          <w:tcPr>
            <w:tcW w:type="dxa" w:w="449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Change register reviewed — anything added without approval?</w:t>
            </w:r>
          </w:p>
        </w:tc>
        <w:tc>
          <w:tcPr>
            <w:tcW w:type="dxa" w:w="280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Footprint control</w:t>
            </w:r>
          </w:p>
        </w:tc>
      </w:tr>
      <w:tr>
        <w:tc>
          <w:tcPr>
            <w:tcW w:type="dxa" w:w="205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Weekly</w:t>
            </w:r>
          </w:p>
        </w:tc>
        <w:tc>
          <w:tcPr>
            <w:tcW w:type="dxa" w:w="449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Monitoring signals reviewed in the feedback loop</w:t>
            </w:r>
          </w:p>
        </w:tc>
        <w:tc>
          <w:tcPr>
            <w:tcW w:type="dxa" w:w="280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Operational health</w:t>
            </w:r>
          </w:p>
        </w:tc>
      </w:tr>
      <w:tr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Day 80</w:t>
            </w:r>
          </w:p>
        </w:tc>
        <w:tc>
          <w:tcPr>
            <w:tcW w:type="dxa" w:w="449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Removal cost totalled for the Gate 4 pack</w:t>
            </w:r>
          </w:p>
        </w:tc>
        <w:tc>
          <w:tcPr>
            <w:tcW w:type="dxa" w:w="280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Stranded-cost figure</w:t>
            </w:r>
          </w:p>
        </w:tc>
      </w:tr>
      <w:tr>
        <w:tc>
          <w:tcPr>
            <w:tcW w:type="dxa" w:w="205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Post-G4</w:t>
            </w:r>
          </w:p>
        </w:tc>
        <w:tc>
          <w:tcPr>
            <w:tcW w:type="dxa" w:w="449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Either hardening begins, or removal executes to the recorded path</w:t>
            </w:r>
          </w:p>
        </w:tc>
        <w:tc>
          <w:tcPr>
            <w:tcW w:type="dxa" w:w="280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Scale or clean exit</w:t>
            </w:r>
          </w:p>
        </w:tc>
      </w:tr>
    </w:tbl>
    <w:p>
      <w:pPr>
        <w:spacing w:after="120"/>
      </w:pP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DEFINITION OF DONE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Zero changes to the LOS schema, the credit decision path, or existing workflow logic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Production access read-only, narrowly scoped, and audited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Blast radius verified by test — studio failure does not affect the standard workflow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Every change in the register with a removal path and a costed removal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 not-building list published and enforced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Removal cost presented at G4 as an input to the decision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RISKS &amp; ESCALATION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2808"/>
        <w:gridCol w:w="4212"/>
        <w:gridCol w:w="2340"/>
      </w:tblGrid>
      <w:tr>
        <w:trPr>
          <w:tblHeader/>
        </w:trPr>
        <w:tc>
          <w:tcPr>
            <w:tcW w:type="dxa" w:w="2808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Risk</w:t>
            </w:r>
          </w:p>
        </w:tc>
        <w:tc>
          <w:tcPr>
            <w:tcW w:type="dxa" w:w="421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Mitigation</w:t>
            </w:r>
          </w:p>
        </w:tc>
        <w:tc>
          <w:tcPr>
            <w:tcW w:type="dxa" w:w="2340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Escalates to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Minimum change erodes as convenient additions accumulate</w:t>
            </w:r>
          </w:p>
        </w:tc>
        <w:tc>
          <w:tcPr>
            <w:tcW w:type="dxa" w:w="421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Change register reviewed weekly; Jazz-specific build requires Steering approval by exception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IT lead</w:t>
            </w:r>
          </w:p>
        </w:tc>
      </w:tr>
      <w:tr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engineered as a soft launch and acquires production obligations</w:t>
            </w:r>
          </w:p>
        </w:tc>
        <w:tc>
          <w:tcPr>
            <w:tcW w:type="dxa" w:w="421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Support model and non-goals stated at G0; the not-building list is published</w:t>
            </w:r>
          </w:p>
        </w:tc>
        <w:tc>
          <w:tcPr>
            <w:tcW w:type="dxa" w:w="234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Head of Operations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Read-only intent not enforced technically</w:t>
            </w:r>
          </w:p>
        </w:tc>
        <w:tc>
          <w:tcPr>
            <w:tcW w:type="dxa" w:w="421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Write attempts monitored as a tripwire that pauses the studio; permissions grant read only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InfoSec</w:t>
            </w:r>
          </w:p>
        </w:tc>
      </w:tr>
      <w:tr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Degraded extraction goes unnoticed and corrupts evidence</w:t>
            </w:r>
          </w:p>
        </w:tc>
        <w:tc>
          <w:tcPr>
            <w:tcW w:type="dxa" w:w="421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Reconciliation exceptions alert on any mismatch; ranked above total outage in the support model</w:t>
            </w:r>
          </w:p>
        </w:tc>
        <w:tc>
          <w:tcPr>
            <w:tcW w:type="dxa" w:w="234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IT lead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Stranded cost of a no-go is unknown at the decision</w:t>
            </w:r>
          </w:p>
        </w:tc>
        <w:tc>
          <w:tcPr>
            <w:tcW w:type="dxa" w:w="421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Removal cost recorded per change as it is built, totalled at Day 80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Finance</w:t>
            </w:r>
          </w:p>
        </w:tc>
      </w:tr>
      <w:tr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Removal never happens after a no-go and the footprint persists</w:t>
            </w:r>
          </w:p>
        </w:tc>
        <w:tc>
          <w:tcPr>
            <w:tcW w:type="dxa" w:w="421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Removal path recorded before build; execution is a tracked post-G4 deliverable</w:t>
            </w:r>
          </w:p>
        </w:tc>
        <w:tc>
          <w:tcPr>
            <w:tcW w:type="dxa" w:w="234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IT lead</w:t>
            </w:r>
          </w:p>
        </w:tc>
      </w:tr>
    </w:tbl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6DC" w:sz="4" w:space="6"/>
      </w:pBdr>
    </w:pPr>
    <w:r>
      <w:rPr>
        <w:rFonts w:ascii="Calibri" w:cs="Calibri" w:eastAsia="Calibri" w:hAnsi="Calibri"/>
        <w:color w:val="5A6B73"/>
        <w:sz w:val="16"/>
        <w:szCs w:val="16"/>
      </w:rPr>
      <w:t xml:space="preserve">JazzX Design Studio — 90-Day Framework  │  Minimum-Change Deployment to Production   </w:t>
    </w:r>
    <w:r>
      <w:rPr>
        <w:rFonts w:ascii="Calibri" w:cs="Calibri" w:eastAsia="Calibri" w:hAnsi="Calibri"/>
        <w:color w:val="5A6B73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403" w:hanging="259"/>
      </w:pPr>
      <w:rPr>
        <w:color w:val="1B6B7C"/>
        <w:sz w:val="21"/>
        <w:szCs w:val="21"/>
      </w:rPr>
    </w:lvl>
    <w:lvl w:ilvl="1" w15:tentative="1">
      <w:start w:val="1"/>
      <w:numFmt w:val="bullet"/>
      <w:lvlText w:val="○"/>
      <w:lvlJc w:val="left"/>
      <w:pPr>
        <w:ind w:left="763" w:hanging="259"/>
      </w:pPr>
      <w:rPr>
        <w:color w:val="5A6B73"/>
        <w:sz w:val="21"/>
        <w:szCs w:val="21"/>
      </w:rPr>
    </w:lvl>
    <w:lvl w:ilvl="2" w15:tentative="1">
      <w:start w:val="1"/>
      <w:numFmt w:val="bullet"/>
      <w:lvlText w:val="▪"/>
      <w:lvlJc w:val="left"/>
      <w:pPr>
        <w:ind w:left="1123" w:hanging="259"/>
      </w:pPr>
      <w:rPr>
        <w:color w:val="5A6B73"/>
        <w:sz w:val="21"/>
        <w:szCs w:val="21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  <w:rPr>
        <w:b/>
        <w:bCs/>
        <w:color w:val="1B6B7C"/>
        <w:sz w:val="21"/>
        <w:szCs w:val="21"/>
      </w:rPr>
    </w:lvl>
    <w:lvl w:ilvl="1" w15:tentative="1">
      <w:start w:val="1"/>
      <w:numFmt w:val="lowerLetter"/>
      <w:lvlText w:val="%2."/>
      <w:lvlJc w:val="left"/>
      <w:pPr>
        <w:ind w:left="835" w:hanging="316"/>
      </w:pPr>
      <w:rPr>
        <w:color w:val="5A6B73"/>
        <w:sz w:val="21"/>
        <w:szCs w:val="21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Minimum-Change Deployment to Production</dc:title>
  <dc:creator>Design Studio Program Office</dc:creator>
  <dc:description>Every change we make is permanent if the answer at Day 90 is no.</dc:description>
  <cp:lastModifiedBy>Un-named</cp:lastModifiedBy>
  <cp:revision>1</cp:revision>
  <dcterms:created xsi:type="dcterms:W3CDTF">2026-08-04T00:16:05.277Z</dcterms:created>
  <dcterms:modified xsi:type="dcterms:W3CDTF">2026-08-04T00:16:05.277Z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