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Apex Global Solutions AI Lease Extraction Proposal</w:t>
      </w:r>
    </w:p>
    <w:p>
      <w:pPr>
        <w:jc w:val="center"/>
      </w:pPr>
      <w:r>
        <w:rPr>
          <w:sz w:val="36"/>
        </w:rPr>
        <w:t>Response to Proposal</w:t>
      </w:r>
    </w:p>
    <w:p/>
    <w:p>
      <w:r>
        <w:t>Generated On: 2026-10-31 02:44:52</w:t>
      </w:r>
    </w:p>
    <w:p>
      <w:r>
        <w:br w:type="page"/>
      </w:r>
    </w:p>
    <w:p>
      <w:pPr>
        <w:pStyle w:val="Heading1"/>
      </w:pPr>
      <w:r>
        <w:t>Document Control</w:t>
      </w:r>
    </w:p>
    <w:tbl>
      <w:tblPr>
        <w:tblStyle w:val="TableGrid"/>
        <w:tblW w:type="auto" w:w="0"/>
        <w:tblLook w:firstColumn="1" w:firstRow="1" w:lastColumn="0" w:lastRow="0" w:noHBand="0" w:noVBand="1" w:val="04A0"/>
        <w:tblLayout w:type="fixed"/>
      </w:tblPr>
      <w:tblGrid>
        <w:gridCol w:w="1728"/>
        <w:gridCol w:w="1728"/>
        <w:gridCol w:w="1728"/>
        <w:gridCol w:w="3456"/>
      </w:tblGrid>
      <w:tr>
        <w:trPr>
          <w:tblHeader w:val="true"/>
        </w:trPr>
        <w:tc>
          <w:tcPr>
            <w:tcW w:type="dxa" w:w="1728"/>
            <w:shd w:val="clear" w:color="auto" w:fill="D9D9D9"/>
            <w:vAlign w:val="top"/>
          </w:tcPr>
          <w:p>
            <w:pPr/>
            <w:r>
              <w:rPr>
                <w:b/>
                <w:sz w:val="20"/>
              </w:rPr>
              <w:t>Version</w:t>
            </w:r>
          </w:p>
        </w:tc>
        <w:tc>
          <w:tcPr>
            <w:tcW w:type="dxa" w:w="1728"/>
            <w:shd w:val="clear" w:color="auto" w:fill="D9D9D9"/>
            <w:vAlign w:val="top"/>
          </w:tcPr>
          <w:p>
            <w:pPr/>
            <w:r>
              <w:rPr>
                <w:b/>
                <w:sz w:val="20"/>
              </w:rPr>
              <w:t>Date</w:t>
            </w:r>
          </w:p>
        </w:tc>
        <w:tc>
          <w:tcPr>
            <w:tcW w:type="dxa" w:w="1728"/>
            <w:shd w:val="clear" w:color="auto" w:fill="D9D9D9"/>
            <w:vAlign w:val="top"/>
          </w:tcPr>
          <w:p>
            <w:pPr/>
            <w:r>
              <w:rPr>
                <w:b/>
                <w:sz w:val="20"/>
              </w:rPr>
              <w:t>Author</w:t>
            </w:r>
          </w:p>
        </w:tc>
        <w:tc>
          <w:tcPr>
            <w:tcW w:type="dxa" w:w="3456"/>
            <w:shd w:val="clear" w:color="auto" w:fill="D9D9D9"/>
            <w:vAlign w:val="top"/>
          </w:tcPr>
          <w:p>
            <w:pPr/>
            <w:r>
              <w:rPr>
                <w:b/>
                <w:sz w:val="20"/>
              </w:rPr>
              <w:t>Description</w:t>
            </w:r>
          </w:p>
        </w:tc>
      </w:tr>
      <w:tr>
        <w:tc>
          <w:tcPr>
            <w:tcW w:type="dxa" w:w="1728"/>
            <w:vAlign w:val="top"/>
          </w:tcPr>
          <w:p>
            <w:pPr/>
            <w:r>
              <w:rPr>
                <w:sz w:val="20"/>
              </w:rPr>
              <w:t>1.0</w:t>
            </w:r>
          </w:p>
        </w:tc>
        <w:tc>
          <w:tcPr>
            <w:tcW w:type="dxa" w:w="1728"/>
            <w:vAlign w:val="top"/>
          </w:tcPr>
          <w:p>
            <w:pPr/>
            <w:r>
              <w:rPr>
                <w:sz w:val="20"/>
              </w:rPr>
              <w:t>2026-10-31</w:t>
            </w:r>
          </w:p>
        </w:tc>
        <w:tc>
          <w:tcPr>
            <w:tcW w:type="dxa" w:w="1728"/>
            <w:vAlign w:val="top"/>
          </w:tcPr>
          <w:p>
            <w:pPr/>
            <w:r>
              <w:rPr>
                <w:sz w:val="20"/>
              </w:rPr>
              <w:t>Proposal Response</w:t>
            </w:r>
          </w:p>
        </w:tc>
        <w:tc>
          <w:tcPr>
            <w:tcW w:type="dxa" w:w="3456"/>
            <w:vAlign w:val="top"/>
          </w:tcPr>
          <w:p>
            <w:pPr/>
            <w:r>
              <w:rPr>
                <w:sz w:val="20"/>
              </w:rPr>
              <w:t>Initial generated proposal response</w:t>
            </w:r>
          </w:p>
        </w:tc>
      </w:tr>
    </w:tbl>
    <w:p/>
    <w:p>
      <w:r>
        <w:br w:type="page"/>
      </w:r>
    </w:p>
    <w:p>
      <w:pPr>
        <w:pStyle w:val="Heading1"/>
      </w:pPr>
      <w:r>
        <w:t>Table of Contents</w:t>
      </w:r>
    </w:p>
    <w:p>
      <w:r>
        <w:fldSimple w:instr="TOC \o &quot;1-3&quot; \h \z \u">
          <w:r>
            <w:t>Right-click and select 'Update Field' to generate the Table of Contents.</w:t>
          </w:r>
        </w:fldSimple>
      </w:r>
    </w:p>
    <w:p>
      <w:r>
        <w:br w:type="page"/>
      </w:r>
    </w:p>
    <w:p>
      <w:pPr>
        <w:pStyle w:val="Heading1"/>
      </w:pPr>
      <w:r>
        <w:t>1.0 Executive Summary</w:t>
      </w:r>
    </w:p>
    <w:p>
      <w:r>
        <w:t>This proposal outlines a 26-week implementation of an AI-powered lease extraction system for Apex Global Solutions, designed to reduce financial risk and operational costs through high-accuracy automation within a secure Azure environment.</w:t>
      </w:r>
    </w:p>
    <w:p>
      <w:pPr>
        <w:pStyle w:val="Heading2"/>
      </w:pPr>
      <w:r>
        <w:t>1.1 Understanding of Client Objectives</w:t>
      </w:r>
    </w:p>
    <w:p>
      <w:r>
        <w:t xml:space="preserve">Apex Global Solutions is currently facing significant operational challenges and financial risks associated with the manual extraction of data from complex lease and contract documents. With a backlog of 15,000 historical documents and an ongoing influx of 200 new documents monthly, the reliance on human labor is not only costly but also prone to errors that lead to missed notice windows, potentially costing the organization upwards of $350,000 annually. </w:t>
        <w:br/>
        <w:br/>
        <w:t>The primary objective of this project is to implement an AI-powered Intelligent Document Processing (IDP) solution that automates the extraction of key lease terms and financial obligations with at least 92% accuracy. This system must integrate seamlessly with existing Microsoft SharePoint and SAP environments while adhering to strict data residency requirements within the Azure US-East region. By automating this lifecycle, Apex aims to reduce operational costs by 50% and significantly mitigate the risks associated with manual data entry and oversight.</w:t>
      </w:r>
    </w:p>
    <w:p>
      <w:pPr>
        <w:pStyle w:val="Heading2"/>
      </w:pPr>
      <w:r>
        <w:t>1.2 Summary of Proposed Solution</w:t>
      </w:r>
    </w:p>
    <w:p>
      <w:r>
        <w:t>An Azure-native Intelligent Document Processing platform that automates lease data extraction with 92%+ accuracy, integrating SharePoint and SAP via a secure, human-in-the-loop workflow.</w:t>
      </w:r>
    </w:p>
    <w:p>
      <w:pPr>
        <w:pStyle w:val="Heading2"/>
      </w:pPr>
      <w:r>
        <w:t>1.3 Differentiators &amp; Value Proposition</w:t>
      </w:r>
    </w:p>
    <w:p>
      <w:pPr>
        <w:pStyle w:val="ListBullet"/>
      </w:pPr>
      <w:r>
        <w:t>Deep expertise in Azure-native AI and Large Language Models (LLMs) for legal document analysis.</w:t>
      </w:r>
    </w:p>
    <w:p>
      <w:pPr>
        <w:pStyle w:val="ListBullet"/>
      </w:pPr>
      <w:r>
        <w:t>Proven architecture for high-accuracy extraction that exceeds the 92% benchmark.</w:t>
      </w:r>
    </w:p>
    <w:p>
      <w:pPr>
        <w:pStyle w:val="ListBullet"/>
      </w:pPr>
      <w:r>
        <w:t>Seamless integration capabilities with SAP ERP systems via secure RESTful APIs.</w:t>
      </w:r>
    </w:p>
    <w:p>
      <w:pPr>
        <w:pStyle w:val="Heading2"/>
      </w:pPr>
      <w:r>
        <w:t>1.4 Expected Outcomes &amp; ROI</w:t>
      </w:r>
    </w:p>
    <w:p>
      <w:pPr>
        <w:pStyle w:val="ListBullet"/>
      </w:pPr>
      <w:r>
        <w:t>Reduced financial risk from missed notice windows and contract dates.</w:t>
      </w:r>
    </w:p>
    <w:p>
      <w:pPr>
        <w:pStyle w:val="ListBullet"/>
      </w:pPr>
      <w:r>
        <w:t>Significant reduction in manual data entry costs for lease management.</w:t>
      </w:r>
    </w:p>
    <w:p>
      <w:pPr>
        <w:pStyle w:val="ListBullet"/>
      </w:pPr>
      <w:r>
        <w:t>Improved data integrity within the SAP ERP system.</w:t>
      </w:r>
    </w:p>
    <w:p>
      <w:pPr>
        <w:pStyle w:val="ListBullet"/>
      </w:pPr>
      <w:r>
        <w:t>Faster document turnaround time from receipt to system entry.</w:t>
      </w:r>
    </w:p>
    <w:p>
      <w:r>
        <w:br w:type="page"/>
      </w:r>
    </w:p>
    <w:p>
      <w:pPr>
        <w:pStyle w:val="Heading1"/>
      </w:pPr>
      <w:r>
        <w:t>2.0 Proposed Solution</w:t>
      </w:r>
    </w:p>
    <w:p>
      <w:r>
        <w:t>Our proposed solution is a comprehensive Intelligent Document Processing (IDP) platform designed to handle the unique complexities of lease and contract documents. The architecture begins with a secure Ingestion Layer that monitors designated SharePoint folders for new PDF uploads. Once a document is detected, it is picked up by our Orchestration Engine, which manages the end-to-end processing lifecycle.</w:t>
        <w:br/>
        <w:br/>
        <w:t>The core extraction logic utilizes a multi-stage AI pipeline. First, Azure AI Document Intelligence performs high-fidelity OCR and layout analysis to identify tables, headers, and key-value pairs. This structured data is then passed to the Azure OpenAI Service (utilizing GPT-4o models), which applies semantic understanding to extract complex contractual terms, dates, and financial obligations that traditional OCR might miss. This dual-layered approach is critical for achieving the required 92% accuracy across varied document formats.</w:t>
        <w:br/>
        <w:br/>
        <w:t>For documents where the AI's confidence score falls below the 88% threshold, the system automatically routes the extraction to a Human-in-the-Loop (HITL) Verification Portal. Here, human reviewers can quickly validate or correct the data using a side-by-side view of the original PDF and the extracted fields. Once validated, the data is pushed via a secure RESTful API into the SAP/Property Management database. The entire solution is deployed within the Apex private Azure tenant in the US-East region, ensuring that data never leaves the required residency boundaries and is protected by AES-256 encryption at rest and TLS 1.3 in transit.</w:t>
      </w:r>
    </w:p>
    <w:p>
      <w:r>
        <w:br w:type="page"/>
      </w:r>
    </w:p>
    <w:p>
      <w:pPr>
        <w:pStyle w:val="Heading1"/>
      </w:pPr>
      <w:r>
        <w:t>3.0 Solution Architecture</w:t>
      </w:r>
    </w:p>
    <w:p>
      <w:r>
        <w:t>The following diagram provides a high-level visualization of the proposed solution's architecture.</w:t>
      </w:r>
    </w:p>
    <w:p>
      <w:r>
        <w:drawing>
          <wp:inline xmlns:a="http://schemas.openxmlformats.org/drawingml/2006/main" xmlns:pic="http://schemas.openxmlformats.org/drawingml/2006/picture">
            <wp:extent cx="5486400" cy="3118170"/>
            <wp:docPr id="1" name="Picture 1"/>
            <wp:cNvGraphicFramePr>
              <a:graphicFrameLocks noChangeAspect="1"/>
            </wp:cNvGraphicFramePr>
            <a:graphic>
              <a:graphicData uri="http://schemas.openxmlformats.org/drawingml/2006/picture">
                <pic:pic>
                  <pic:nvPicPr>
                    <pic:cNvPr id="0" name="apex_global_solutions_ai_lease_extraction_proposal_architecture.png"/>
                    <pic:cNvPicPr/>
                  </pic:nvPicPr>
                  <pic:blipFill>
                    <a:blip r:embed="rId10"/>
                    <a:stretch>
                      <a:fillRect/>
                    </a:stretch>
                  </pic:blipFill>
                  <pic:spPr>
                    <a:xfrm>
                      <a:off x="0" y="0"/>
                      <a:ext cx="5486400" cy="3118170"/>
                    </a:xfrm>
                    <a:prstGeom prst="rect"/>
                  </pic:spPr>
                </pic:pic>
              </a:graphicData>
            </a:graphic>
          </wp:inline>
        </w:drawing>
      </w:r>
    </w:p>
    <w:p/>
    <w:tbl>
      <w:tblPr>
        <w:tblStyle w:val="TableGrid"/>
        <w:tblW w:type="auto" w:w="0"/>
        <w:tblLook w:firstColumn="1" w:firstRow="1" w:lastColumn="0" w:lastRow="0" w:noHBand="0" w:noVBand="1" w:val="04A0"/>
        <w:tblLayout w:type="fixed"/>
      </w:tblPr>
      <w:tblGrid>
        <w:gridCol w:w="3161"/>
        <w:gridCol w:w="5479"/>
      </w:tblGrid>
      <w:tr>
        <w:trPr>
          <w:tblHeader w:val="true"/>
        </w:trPr>
        <w:tc>
          <w:tcPr>
            <w:tcW w:type="dxa" w:w="3161"/>
            <w:shd w:val="clear" w:color="auto" w:fill="D9D9D9"/>
            <w:vAlign w:val="top"/>
          </w:tcPr>
          <w:p>
            <w:pPr/>
            <w:r>
              <w:rPr>
                <w:b/>
                <w:sz w:val="20"/>
              </w:rPr>
              <w:t>Component</w:t>
            </w:r>
          </w:p>
        </w:tc>
        <w:tc>
          <w:tcPr>
            <w:tcW w:type="dxa" w:w="5479"/>
            <w:shd w:val="clear" w:color="auto" w:fill="D9D9D9"/>
            <w:vAlign w:val="top"/>
          </w:tcPr>
          <w:p>
            <w:pPr/>
            <w:r>
              <w:rPr>
                <w:b/>
                <w:sz w:val="20"/>
              </w:rPr>
              <w:t>Description</w:t>
            </w:r>
          </w:p>
        </w:tc>
      </w:tr>
      <w:tr>
        <w:tc>
          <w:tcPr>
            <w:tcW w:type="dxa" w:w="3161"/>
            <w:vAlign w:val="top"/>
          </w:tcPr>
          <w:p>
            <w:pPr/>
            <w:r>
              <w:rPr>
                <w:sz w:val="20"/>
              </w:rPr>
              <w:t>SharePoint Ingestion Connector</w:t>
            </w:r>
          </w:p>
        </w:tc>
        <w:tc>
          <w:tcPr>
            <w:tcW w:type="dxa" w:w="5479"/>
            <w:vAlign w:val="top"/>
          </w:tcPr>
          <w:p>
            <w:pPr/>
            <w:r>
              <w:rPr>
                <w:sz w:val="20"/>
              </w:rPr>
            </w:r>
            <w:r>
              <w:rPr>
                <w:sz w:val="20"/>
              </w:rPr>
              <w:t>• Securely monitors and retrieves lease documents from designated SharePoint folders.</w:t>
            </w:r>
          </w:p>
        </w:tc>
      </w:tr>
      <w:tr>
        <w:tc>
          <w:tcPr>
            <w:tcW w:type="dxa" w:w="3161"/>
            <w:vAlign w:val="top"/>
          </w:tcPr>
          <w:p>
            <w:pPr/>
            <w:r>
              <w:rPr>
                <w:sz w:val="20"/>
              </w:rPr>
              <w:t>Orchestration Engine</w:t>
            </w:r>
          </w:p>
        </w:tc>
        <w:tc>
          <w:tcPr>
            <w:tcW w:type="dxa" w:w="5479"/>
            <w:vAlign w:val="top"/>
          </w:tcPr>
          <w:p>
            <w:pPr/>
            <w:r>
              <w:rPr>
                <w:sz w:val="20"/>
              </w:rPr>
            </w:r>
            <w:r>
              <w:rPr>
                <w:sz w:val="20"/>
              </w:rPr>
              <w:t>• Serverless workflow engine managing document state, model invocation, and data routing.</w:t>
            </w:r>
          </w:p>
        </w:tc>
      </w:tr>
      <w:tr>
        <w:tc>
          <w:tcPr>
            <w:tcW w:type="dxa" w:w="3161"/>
            <w:vAlign w:val="top"/>
          </w:tcPr>
          <w:p>
            <w:pPr/>
            <w:r>
              <w:rPr>
                <w:sz w:val="20"/>
              </w:rPr>
              <w:t>Azure AI Document Intelligence</w:t>
            </w:r>
          </w:p>
        </w:tc>
        <w:tc>
          <w:tcPr>
            <w:tcW w:type="dxa" w:w="5479"/>
            <w:vAlign w:val="top"/>
          </w:tcPr>
          <w:p>
            <w:pPr/>
            <w:r>
              <w:rPr>
                <w:sz w:val="20"/>
              </w:rPr>
            </w:r>
            <w:r>
              <w:rPr>
                <w:sz w:val="20"/>
              </w:rPr>
              <w:t>• Azure-native OCR and layout analysis to convert PDF content into structured data.</w:t>
            </w:r>
          </w:p>
        </w:tc>
      </w:tr>
      <w:tr>
        <w:tc>
          <w:tcPr>
            <w:tcW w:type="dxa" w:w="3161"/>
            <w:vAlign w:val="top"/>
          </w:tcPr>
          <w:p>
            <w:pPr/>
            <w:r>
              <w:rPr>
                <w:sz w:val="20"/>
              </w:rPr>
              <w:t>Azure OpenAI Service</w:t>
            </w:r>
          </w:p>
        </w:tc>
        <w:tc>
          <w:tcPr>
            <w:tcW w:type="dxa" w:w="5479"/>
            <w:vAlign w:val="top"/>
          </w:tcPr>
          <w:p>
            <w:pPr/>
            <w:r>
              <w:rPr>
                <w:sz w:val="20"/>
              </w:rPr>
            </w:r>
            <w:r>
              <w:rPr>
                <w:sz w:val="20"/>
              </w:rPr>
              <w:t>• Large Language Model (LLM) service for semantic extraction of complex lease clauses.</w:t>
            </w:r>
          </w:p>
        </w:tc>
      </w:tr>
      <w:tr>
        <w:tc>
          <w:tcPr>
            <w:tcW w:type="dxa" w:w="3161"/>
            <w:vAlign w:val="top"/>
          </w:tcPr>
          <w:p>
            <w:pPr/>
            <w:r>
              <w:rPr>
                <w:sz w:val="20"/>
              </w:rPr>
              <w:t>HITL Verification Portal</w:t>
            </w:r>
          </w:p>
        </w:tc>
        <w:tc>
          <w:tcPr>
            <w:tcW w:type="dxa" w:w="5479"/>
            <w:vAlign w:val="top"/>
          </w:tcPr>
          <w:p>
            <w:pPr/>
            <w:r>
              <w:rPr>
                <w:sz w:val="20"/>
              </w:rPr>
            </w:r>
            <w:r>
              <w:rPr>
                <w:sz w:val="20"/>
              </w:rPr>
              <w:t>• Web-based interface for human reviewers to validate extractions with low confidence scores.</w:t>
            </w:r>
          </w:p>
        </w:tc>
      </w:tr>
      <w:tr>
        <w:tc>
          <w:tcPr>
            <w:tcW w:type="dxa" w:w="3161"/>
            <w:vAlign w:val="top"/>
          </w:tcPr>
          <w:p>
            <w:pPr/>
            <w:r>
              <w:rPr>
                <w:sz w:val="20"/>
              </w:rPr>
              <w:t>SAP Integration Service</w:t>
            </w:r>
          </w:p>
        </w:tc>
        <w:tc>
          <w:tcPr>
            <w:tcW w:type="dxa" w:w="5479"/>
            <w:vAlign w:val="top"/>
          </w:tcPr>
          <w:p>
            <w:pPr/>
            <w:r>
              <w:rPr>
                <w:sz w:val="20"/>
              </w:rPr>
            </w:r>
            <w:r>
              <w:rPr>
                <w:sz w:val="20"/>
              </w:rPr>
              <w:t>• RESTful API gateway for pushing validated data into the SAP ERP system.</w:t>
            </w:r>
          </w:p>
        </w:tc>
      </w:tr>
    </w:tbl>
    <w:p/>
    <w:p>
      <w:r>
        <w:br w:type="page"/>
      </w:r>
    </w:p>
    <w:p>
      <w:pPr>
        <w:pStyle w:val="Heading1"/>
      </w:pPr>
      <w:r>
        <w:t>4.0 Scope of Work &amp; Boundaries</w:t>
      </w:r>
    </w:p>
    <w:p>
      <w:pPr>
        <w:pStyle w:val="Heading2"/>
      </w:pPr>
      <w:r>
        <w:t>4.1 Services in Scope</w:t>
      </w:r>
    </w:p>
    <w:p>
      <w:pPr>
        <w:pStyle w:val="ListBullet"/>
      </w:pPr>
      <w:r>
        <w:t>Azure Environment Configuration</w:t>
      </w:r>
    </w:p>
    <w:p>
      <w:pPr>
        <w:pStyle w:val="ListBullet"/>
      </w:pPr>
      <w:r>
        <w:t>AI Model Training &amp; Fine-tuning</w:t>
      </w:r>
    </w:p>
    <w:p>
      <w:pPr>
        <w:pStyle w:val="ListBullet"/>
      </w:pPr>
      <w:r>
        <w:t>SharePoint &amp; SAP Integration Development</w:t>
      </w:r>
    </w:p>
    <w:p>
      <w:pPr>
        <w:pStyle w:val="ListBullet"/>
      </w:pPr>
      <w:r>
        <w:t>HITL Portal Implementation</w:t>
      </w:r>
    </w:p>
    <w:p>
      <w:pPr>
        <w:pStyle w:val="ListBullet"/>
      </w:pPr>
      <w:r>
        <w:t>UAT Support &amp; Training</w:t>
      </w:r>
    </w:p>
    <w:p>
      <w:pPr>
        <w:pStyle w:val="Heading2"/>
      </w:pPr>
      <w:r>
        <w:t>4.2 Functional Coverage</w:t>
      </w:r>
    </w:p>
    <w:p>
      <w:r>
        <w:t>This proposal provides a response to all 10 requirements identified in the requirements register: 10 Fully Compliant.</w:t>
      </w:r>
    </w:p>
    <w:p>
      <w:pPr>
        <w:pStyle w:val="Heading2"/>
      </w:pPr>
      <w:r>
        <w:t>4.3 Environments &amp; Platforms Covered</w:t>
      </w:r>
    </w:p>
    <w:p>
      <w:pPr>
        <w:pStyle w:val="ListBullet"/>
      </w:pPr>
      <w:r>
        <w:t>Azure Private Tenant (US-East / US-East-2)</w:t>
      </w:r>
    </w:p>
    <w:p>
      <w:pPr>
        <w:pStyle w:val="Heading2"/>
      </w:pPr>
      <w:r>
        <w:t>4.4 Key Deliverables &amp; Artifacts</w:t>
      </w:r>
    </w:p>
    <w:p>
      <w:pPr>
        <w:pStyle w:val="ListBullet"/>
      </w:pPr>
      <w:r>
        <w:t>Production-deployed Intelligent Document Processing (IDP) platform.</w:t>
      </w:r>
    </w:p>
    <w:p>
      <w:pPr>
        <w:pStyle w:val="ListBullet"/>
      </w:pPr>
      <w:r>
        <w:t>Automated SharePoint-to-SAP data pipelines.</w:t>
      </w:r>
    </w:p>
    <w:p>
      <w:pPr>
        <w:pStyle w:val="ListBullet"/>
      </w:pPr>
      <w:r>
        <w:t>Human-in-the-Loop (HITL) verification portal.</w:t>
      </w:r>
    </w:p>
    <w:p>
      <w:pPr>
        <w:pStyle w:val="ListBullet"/>
      </w:pPr>
      <w:r>
        <w:t>Detailed Model Performance and Accuracy Reports.</w:t>
      </w:r>
    </w:p>
    <w:p>
      <w:pPr>
        <w:pStyle w:val="ListBullet"/>
      </w:pPr>
      <w:r>
        <w:t>Operations Manual and Admin Training Documentation.</w:t>
      </w:r>
    </w:p>
    <w:p>
      <w:pPr>
        <w:pStyle w:val="Heading2"/>
      </w:pPr>
      <w:r>
        <w:t>4.5 Out-of-Scope Activities</w:t>
      </w:r>
    </w:p>
    <w:p>
      <w:pPr>
        <w:pStyle w:val="ListBullet"/>
      </w:pPr>
      <w:r>
        <w:t>Digitization of physical paper documents (OCR starts from digital PDF).</w:t>
      </w:r>
    </w:p>
    <w:p>
      <w:pPr>
        <w:pStyle w:val="ListBullet"/>
      </w:pPr>
      <w:r>
        <w:t>Modifications to the core SAP ERP application logic.</w:t>
      </w:r>
    </w:p>
    <w:p>
      <w:pPr>
        <w:pStyle w:val="ListBullet"/>
      </w:pPr>
      <w:r>
        <w:t>Long-term data archival beyond the 90-day processing window.</w:t>
      </w:r>
    </w:p>
    <w:p>
      <w:pPr>
        <w:pStyle w:val="Heading2"/>
      </w:pPr>
      <w:r>
        <w:t>4.6 Key Technical Constraints</w:t>
      </w:r>
    </w:p>
    <w:p>
      <w:pPr>
        <w:pStyle w:val="ListBullet"/>
      </w:pPr>
      <w:r>
        <w:t>All data processing and storage must remain within Azure US-East / US-East-2 regions.</w:t>
      </w:r>
    </w:p>
    <w:p>
      <w:pPr>
        <w:pStyle w:val="ListBullet"/>
      </w:pPr>
      <w:r>
        <w:t>Encryption must utilize AES-256 at rest and TLS 1.3 in transit.</w:t>
      </w:r>
    </w:p>
    <w:p>
      <w:pPr>
        <w:pStyle w:val="ListBullet"/>
      </w:pPr>
      <w:r>
        <w:t>Integration must utilize existing RESTful API endpoints for SharePoint and SAP.</w:t>
      </w:r>
    </w:p>
    <w:p>
      <w:r>
        <w:br w:type="page"/>
      </w:r>
    </w:p>
    <w:p>
      <w:pPr>
        <w:pStyle w:val="Heading1"/>
      </w:pPr>
      <w:r>
        <w:t>5.0 Compliance Matrix</w:t>
      </w:r>
    </w:p>
    <w:p>
      <w:r>
        <w:t>This section addresses each identified requirement in turn, stating our compliance status and response.</w:t>
      </w:r>
    </w:p>
    <w:tbl>
      <w:tblPr>
        <w:tblStyle w:val="TableGrid"/>
        <w:tblW w:type="auto" w:w="0"/>
        <w:tblLook w:firstColumn="1" w:firstRow="1" w:lastColumn="0" w:lastRow="0" w:noHBand="0" w:noVBand="1" w:val="04A0"/>
        <w:tblLayout w:type="fixed"/>
      </w:tblPr>
      <w:tblGrid>
        <w:gridCol w:w="1370"/>
        <w:gridCol w:w="2740"/>
        <w:gridCol w:w="1370"/>
        <w:gridCol w:w="1580"/>
        <w:gridCol w:w="1580"/>
      </w:tblGrid>
      <w:tr>
        <w:trPr>
          <w:tblHeader w:val="true"/>
        </w:trPr>
        <w:tc>
          <w:tcPr>
            <w:tcW w:type="dxa" w:w="1370"/>
            <w:shd w:val="clear" w:color="auto" w:fill="D9D9D9"/>
            <w:vAlign w:val="top"/>
          </w:tcPr>
          <w:p>
            <w:pPr/>
            <w:r>
              <w:rPr>
                <w:b/>
                <w:sz w:val="20"/>
              </w:rPr>
              <w:t>ID</w:t>
            </w:r>
          </w:p>
        </w:tc>
        <w:tc>
          <w:tcPr>
            <w:tcW w:type="dxa" w:w="2740"/>
            <w:shd w:val="clear" w:color="auto" w:fill="D9D9D9"/>
            <w:vAlign w:val="top"/>
          </w:tcPr>
          <w:p>
            <w:pPr/>
            <w:r>
              <w:rPr>
                <w:b/>
                <w:sz w:val="20"/>
              </w:rPr>
              <w:t>Requirement</w:t>
            </w:r>
          </w:p>
        </w:tc>
        <w:tc>
          <w:tcPr>
            <w:tcW w:type="dxa" w:w="1370"/>
            <w:shd w:val="clear" w:color="auto" w:fill="D9D9D9"/>
            <w:vAlign w:val="top"/>
          </w:tcPr>
          <w:p>
            <w:pPr/>
            <w:r>
              <w:rPr>
                <w:b/>
                <w:sz w:val="20"/>
              </w:rPr>
              <w:t>Status</w:t>
            </w:r>
          </w:p>
        </w:tc>
        <w:tc>
          <w:tcPr>
            <w:tcW w:type="dxa" w:w="1580"/>
            <w:shd w:val="clear" w:color="auto" w:fill="D9D9D9"/>
            <w:vAlign w:val="top"/>
          </w:tcPr>
          <w:p>
            <w:pPr/>
            <w:r>
              <w:rPr>
                <w:b/>
                <w:sz w:val="20"/>
              </w:rPr>
              <w:t>Response</w:t>
            </w:r>
          </w:p>
        </w:tc>
        <w:tc>
          <w:tcPr>
            <w:tcW w:type="dxa" w:w="1580"/>
            <w:shd w:val="clear" w:color="auto" w:fill="D9D9D9"/>
            <w:vAlign w:val="top"/>
          </w:tcPr>
          <w:p>
            <w:pPr/>
            <w:r>
              <w:rPr>
                <w:b/>
                <w:sz w:val="20"/>
              </w:rPr>
              <w:t>Evidence / Location</w:t>
            </w:r>
          </w:p>
        </w:tc>
      </w:tr>
      <w:tr>
        <w:tc>
          <w:tcPr>
            <w:tcW w:type="dxa" w:w="1370"/>
            <w:vAlign w:val="top"/>
          </w:tcPr>
          <w:p>
            <w:pPr/>
            <w:r>
              <w:rPr>
                <w:sz w:val="20"/>
              </w:rPr>
              <w:t>CON-001</w:t>
            </w:r>
          </w:p>
        </w:tc>
        <w:tc>
          <w:tcPr>
            <w:tcW w:type="dxa" w:w="2740"/>
            <w:vAlign w:val="top"/>
          </w:tcPr>
          <w:p>
            <w:pPr/>
            <w:r>
              <w:rPr>
                <w:sz w:val="20"/>
              </w:rPr>
            </w:r>
            <w:r>
              <w:rPr>
                <w:sz w:val="20"/>
              </w:rPr>
              <w:t>• All model training and execution must occur strictly within Apex's private Microsoft Azure tenant (US-East / East-US-2).</w:t>
            </w:r>
          </w:p>
        </w:tc>
        <w:tc>
          <w:tcPr>
            <w:tcW w:type="dxa" w:w="1370"/>
            <w:vAlign w:val="top"/>
          </w:tcPr>
          <w:p>
            <w:pPr/>
            <w:r>
              <w:rPr>
                <w:sz w:val="20"/>
              </w:rPr>
              <w:t>Fully Compliant</w:t>
            </w:r>
          </w:p>
        </w:tc>
        <w:tc>
          <w:tcPr>
            <w:tcW w:type="dxa" w:w="1580"/>
            <w:vAlign w:val="top"/>
          </w:tcPr>
          <w:p>
            <w:pPr/>
            <w:r>
              <w:rPr>
                <w:sz w:val="20"/>
              </w:rPr>
            </w:r>
            <w:r>
              <w:rPr>
                <w:sz w:val="20"/>
              </w:rPr>
              <w:t>• The solution is deployed exclusively within the client's designated Azure regions.</w:t>
            </w:r>
          </w:p>
        </w:tc>
        <w:tc>
          <w:tcPr>
            <w:tcW w:type="dxa" w:w="1580"/>
            <w:vAlign w:val="top"/>
          </w:tcPr>
          <w:p>
            <w:pPr/>
            <w:r>
              <w:rPr>
                <w:sz w:val="20"/>
              </w:rPr>
            </w:r>
            <w:r>
              <w:rPr>
                <w:sz w:val="20"/>
              </w:rPr>
              <w:t>• See Environment Setup</w:t>
            </w:r>
          </w:p>
        </w:tc>
      </w:tr>
      <w:tr>
        <w:tc>
          <w:tcPr>
            <w:tcW w:type="dxa" w:w="1370"/>
            <w:vAlign w:val="top"/>
          </w:tcPr>
          <w:p>
            <w:pPr/>
            <w:r>
              <w:rPr>
                <w:sz w:val="20"/>
              </w:rPr>
              <w:t>CON-003</w:t>
            </w:r>
          </w:p>
        </w:tc>
        <w:tc>
          <w:tcPr>
            <w:tcW w:type="dxa" w:w="2740"/>
            <w:vAlign w:val="top"/>
          </w:tcPr>
          <w:p>
            <w:pPr/>
            <w:r>
              <w:rPr>
                <w:sz w:val="20"/>
              </w:rPr>
            </w:r>
            <w:r>
              <w:rPr>
                <w:sz w:val="20"/>
              </w:rPr>
              <w:t>• The implementation must follow a 26-week timeline across five phases.</w:t>
            </w:r>
          </w:p>
        </w:tc>
        <w:tc>
          <w:tcPr>
            <w:tcW w:type="dxa" w:w="1370"/>
            <w:vAlign w:val="top"/>
          </w:tcPr>
          <w:p>
            <w:pPr/>
            <w:r>
              <w:rPr>
                <w:sz w:val="20"/>
              </w:rPr>
              <w:t>Fully Compliant</w:t>
            </w:r>
          </w:p>
        </w:tc>
        <w:tc>
          <w:tcPr>
            <w:tcW w:type="dxa" w:w="1580"/>
            <w:vAlign w:val="top"/>
          </w:tcPr>
          <w:p>
            <w:pPr/>
            <w:r>
              <w:rPr>
                <w:sz w:val="20"/>
              </w:rPr>
            </w:r>
            <w:r>
              <w:rPr>
                <w:sz w:val="20"/>
              </w:rPr>
              <w:t>• Our proposed schedule aligns with the 26-week phased delivery model.</w:t>
            </w:r>
          </w:p>
        </w:tc>
        <w:tc>
          <w:tcPr>
            <w:tcW w:type="dxa" w:w="1580"/>
            <w:vAlign w:val="top"/>
          </w:tcPr>
          <w:p>
            <w:pPr/>
            <w:r>
              <w:rPr>
                <w:sz w:val="20"/>
              </w:rPr>
            </w:r>
            <w:r>
              <w:rPr>
                <w:sz w:val="20"/>
              </w:rPr>
              <w:t>• See Implementation Plan</w:t>
            </w:r>
          </w:p>
        </w:tc>
      </w:tr>
      <w:tr>
        <w:tc>
          <w:tcPr>
            <w:tcW w:type="dxa" w:w="1370"/>
            <w:vAlign w:val="top"/>
          </w:tcPr>
          <w:p>
            <w:pPr/>
            <w:r>
              <w:rPr>
                <w:sz w:val="20"/>
              </w:rPr>
              <w:t>CON-005</w:t>
            </w:r>
          </w:p>
        </w:tc>
        <w:tc>
          <w:tcPr>
            <w:tcW w:type="dxa" w:w="2740"/>
            <w:vAlign w:val="top"/>
          </w:tcPr>
          <w:p>
            <w:pPr/>
            <w:r>
              <w:rPr>
                <w:sz w:val="20"/>
              </w:rPr>
            </w:r>
            <w:r>
              <w:rPr>
                <w:sz w:val="20"/>
              </w:rPr>
              <w:t>• Proposals must include explicit rate cards and architectural assumptions for scaling, retraining, and drift handling.</w:t>
            </w:r>
          </w:p>
        </w:tc>
        <w:tc>
          <w:tcPr>
            <w:tcW w:type="dxa" w:w="1370"/>
            <w:vAlign w:val="top"/>
          </w:tcPr>
          <w:p>
            <w:pPr/>
            <w:r>
              <w:rPr>
                <w:sz w:val="20"/>
              </w:rPr>
              <w:t>Fully Compliant</w:t>
            </w:r>
          </w:p>
        </w:tc>
        <w:tc>
          <w:tcPr>
            <w:tcW w:type="dxa" w:w="1580"/>
            <w:vAlign w:val="top"/>
          </w:tcPr>
          <w:p>
            <w:pPr/>
            <w:r>
              <w:rPr>
                <w:sz w:val="20"/>
              </w:rPr>
            </w:r>
            <w:r>
              <w:rPr>
                <w:sz w:val="20"/>
              </w:rPr>
              <w:t>• A comprehensive rate card for post-launch scaling and model maintenance is included in the pricing section.</w:t>
            </w:r>
          </w:p>
        </w:tc>
        <w:tc>
          <w:tcPr>
            <w:tcW w:type="dxa" w:w="1580"/>
            <w:vAlign w:val="top"/>
          </w:tcPr>
          <w:p>
            <w:pPr/>
            <w:r>
              <w:rPr>
                <w:sz w:val="20"/>
              </w:rPr>
            </w:r>
            <w:r>
              <w:rPr>
                <w:sz w:val="20"/>
              </w:rPr>
              <w:t>• See Pricing Approach</w:t>
            </w:r>
          </w:p>
        </w:tc>
      </w:tr>
      <w:tr>
        <w:tc>
          <w:tcPr>
            <w:tcW w:type="dxa" w:w="1370"/>
            <w:vAlign w:val="top"/>
          </w:tcPr>
          <w:p>
            <w:pPr/>
            <w:r>
              <w:rPr>
                <w:sz w:val="20"/>
              </w:rPr>
              <w:t>FR-001</w:t>
            </w:r>
          </w:p>
        </w:tc>
        <w:tc>
          <w:tcPr>
            <w:tcW w:type="dxa" w:w="2740"/>
            <w:vAlign w:val="top"/>
          </w:tcPr>
          <w:p>
            <w:pPr/>
            <w:r>
              <w:rPr>
                <w:sz w:val="20"/>
              </w:rPr>
            </w:r>
            <w:r>
              <w:rPr>
                <w:sz w:val="20"/>
              </w:rPr>
              <w:t>• Automate extraction of structured data (lease terms, financial obligations, dates) from complex multi-page PDF documents.</w:t>
            </w:r>
          </w:p>
        </w:tc>
        <w:tc>
          <w:tcPr>
            <w:tcW w:type="dxa" w:w="1370"/>
            <w:vAlign w:val="top"/>
          </w:tcPr>
          <w:p>
            <w:pPr/>
            <w:r>
              <w:rPr>
                <w:sz w:val="20"/>
              </w:rPr>
              <w:t>Fully Compliant</w:t>
            </w:r>
          </w:p>
        </w:tc>
        <w:tc>
          <w:tcPr>
            <w:tcW w:type="dxa" w:w="1580"/>
            <w:vAlign w:val="top"/>
          </w:tcPr>
          <w:p>
            <w:pPr/>
            <w:r>
              <w:rPr>
                <w:sz w:val="20"/>
              </w:rPr>
            </w:r>
            <w:r>
              <w:rPr>
                <w:sz w:val="20"/>
              </w:rPr>
              <w:t>• Our solution uses Azure AI Document Intelligence combined with LLMs to extract over 50 specific lease fields with high precision.</w:t>
            </w:r>
          </w:p>
        </w:tc>
        <w:tc>
          <w:tcPr>
            <w:tcW w:type="dxa" w:w="1580"/>
            <w:vAlign w:val="top"/>
          </w:tcPr>
          <w:p>
            <w:pPr/>
            <w:r>
              <w:rPr>
                <w:sz w:val="20"/>
              </w:rPr>
            </w:r>
            <w:r>
              <w:rPr>
                <w:sz w:val="20"/>
              </w:rPr>
              <w:t>• See Proposed Solution</w:t>
            </w:r>
          </w:p>
        </w:tc>
      </w:tr>
      <w:tr>
        <w:tc>
          <w:tcPr>
            <w:tcW w:type="dxa" w:w="1370"/>
            <w:vAlign w:val="top"/>
          </w:tcPr>
          <w:p>
            <w:pPr/>
            <w:r>
              <w:rPr>
                <w:sz w:val="20"/>
              </w:rPr>
              <w:t>FR-002</w:t>
            </w:r>
          </w:p>
        </w:tc>
        <w:tc>
          <w:tcPr>
            <w:tcW w:type="dxa" w:w="2740"/>
            <w:vAlign w:val="top"/>
          </w:tcPr>
          <w:p>
            <w:pPr/>
            <w:r>
              <w:rPr>
                <w:sz w:val="20"/>
              </w:rPr>
            </w:r>
            <w:r>
              <w:rPr>
                <w:sz w:val="20"/>
              </w:rPr>
              <w:t>• Integrate with Microsoft SharePoint for ingestion and SAP/Property Management DB for output via RESTful APIs.</w:t>
            </w:r>
          </w:p>
        </w:tc>
        <w:tc>
          <w:tcPr>
            <w:tcW w:type="dxa" w:w="1370"/>
            <w:vAlign w:val="top"/>
          </w:tcPr>
          <w:p>
            <w:pPr/>
            <w:r>
              <w:rPr>
                <w:sz w:val="20"/>
              </w:rPr>
              <w:t>Fully Compliant</w:t>
            </w:r>
          </w:p>
        </w:tc>
        <w:tc>
          <w:tcPr>
            <w:tcW w:type="dxa" w:w="1580"/>
            <w:vAlign w:val="top"/>
          </w:tcPr>
          <w:p>
            <w:pPr/>
            <w:r>
              <w:rPr>
                <w:sz w:val="20"/>
              </w:rPr>
            </w:r>
            <w:r>
              <w:rPr>
                <w:sz w:val="20"/>
              </w:rPr>
              <w:t>• We provide native connectors for SharePoint and a custom API adapter for SAP integration.</w:t>
            </w:r>
          </w:p>
        </w:tc>
        <w:tc>
          <w:tcPr>
            <w:tcW w:type="dxa" w:w="1580"/>
            <w:vAlign w:val="top"/>
          </w:tcPr>
          <w:p>
            <w:pPr/>
            <w:r>
              <w:rPr>
                <w:sz w:val="20"/>
              </w:rPr>
            </w:r>
            <w:r>
              <w:rPr>
                <w:sz w:val="20"/>
              </w:rPr>
              <w:t>• See Architecture Components</w:t>
            </w:r>
          </w:p>
        </w:tc>
      </w:tr>
      <w:tr>
        <w:tc>
          <w:tcPr>
            <w:tcW w:type="dxa" w:w="1370"/>
            <w:vAlign w:val="top"/>
          </w:tcPr>
          <w:p>
            <w:pPr/>
            <w:r>
              <w:rPr>
                <w:sz w:val="20"/>
              </w:rPr>
              <w:t>FR-003</w:t>
            </w:r>
          </w:p>
        </w:tc>
        <w:tc>
          <w:tcPr>
            <w:tcW w:type="dxa" w:w="2740"/>
            <w:vAlign w:val="top"/>
          </w:tcPr>
          <w:p>
            <w:pPr/>
            <w:r>
              <w:rPr>
                <w:sz w:val="20"/>
              </w:rPr>
            </w:r>
            <w:r>
              <w:rPr>
                <w:sz w:val="20"/>
              </w:rPr>
              <w:t>• Provide a Human-in-the-Loop (HITL) interface for verification of extractions with confidence scores below 88%.</w:t>
            </w:r>
          </w:p>
        </w:tc>
        <w:tc>
          <w:tcPr>
            <w:tcW w:type="dxa" w:w="1370"/>
            <w:vAlign w:val="top"/>
          </w:tcPr>
          <w:p>
            <w:pPr/>
            <w:r>
              <w:rPr>
                <w:sz w:val="20"/>
              </w:rPr>
              <w:t>Fully Compliant</w:t>
            </w:r>
          </w:p>
        </w:tc>
        <w:tc>
          <w:tcPr>
            <w:tcW w:type="dxa" w:w="1580"/>
            <w:vAlign w:val="top"/>
          </w:tcPr>
          <w:p>
            <w:pPr/>
            <w:r>
              <w:rPr>
                <w:sz w:val="20"/>
              </w:rPr>
            </w:r>
            <w:r>
              <w:rPr>
                <w:sz w:val="20"/>
              </w:rPr>
              <w:t>• The HITL portal automatically queues documents where field-level confidence scores fall below the 88% threshold.</w:t>
            </w:r>
          </w:p>
        </w:tc>
        <w:tc>
          <w:tcPr>
            <w:tcW w:type="dxa" w:w="1580"/>
            <w:vAlign w:val="top"/>
          </w:tcPr>
          <w:p>
            <w:pPr/>
            <w:r>
              <w:rPr>
                <w:sz w:val="20"/>
              </w:rPr>
            </w:r>
            <w:r>
              <w:rPr>
                <w:sz w:val="20"/>
              </w:rPr>
              <w:t>• See Proposed Solution</w:t>
            </w:r>
          </w:p>
        </w:tc>
      </w:tr>
      <w:tr>
        <w:tc>
          <w:tcPr>
            <w:tcW w:type="dxa" w:w="1370"/>
            <w:vAlign w:val="top"/>
          </w:tcPr>
          <w:p>
            <w:pPr/>
            <w:r>
              <w:rPr>
                <w:sz w:val="20"/>
              </w:rPr>
              <w:t>NFR-001</w:t>
            </w:r>
          </w:p>
        </w:tc>
        <w:tc>
          <w:tcPr>
            <w:tcW w:type="dxa" w:w="2740"/>
            <w:vAlign w:val="top"/>
          </w:tcPr>
          <w:p>
            <w:pPr/>
            <w:r>
              <w:rPr>
                <w:sz w:val="20"/>
              </w:rPr>
            </w:r>
            <w:r>
              <w:rPr>
                <w:sz w:val="20"/>
              </w:rPr>
              <w:t>• Achieve an extraction accuracy of 92% or higher across all fields.</w:t>
            </w:r>
          </w:p>
        </w:tc>
        <w:tc>
          <w:tcPr>
            <w:tcW w:type="dxa" w:w="1370"/>
            <w:vAlign w:val="top"/>
          </w:tcPr>
          <w:p>
            <w:pPr/>
            <w:r>
              <w:rPr>
                <w:sz w:val="20"/>
              </w:rPr>
              <w:t>Fully Compliant</w:t>
            </w:r>
          </w:p>
        </w:tc>
        <w:tc>
          <w:tcPr>
            <w:tcW w:type="dxa" w:w="1580"/>
            <w:vAlign w:val="top"/>
          </w:tcPr>
          <w:p>
            <w:pPr/>
            <w:r>
              <w:rPr>
                <w:sz w:val="20"/>
              </w:rPr>
            </w:r>
            <w:r>
              <w:rPr>
                <w:sz w:val="20"/>
              </w:rPr>
              <w:t>• Our iterative training approach is designed to meet and exceed the 92% accuracy target through semantic validation.</w:t>
            </w:r>
          </w:p>
        </w:tc>
        <w:tc>
          <w:tcPr>
            <w:tcW w:type="dxa" w:w="1580"/>
            <w:vAlign w:val="top"/>
          </w:tcPr>
          <w:p>
            <w:pPr/>
            <w:r>
              <w:rPr>
                <w:sz w:val="20"/>
              </w:rPr>
            </w:r>
            <w:r>
              <w:rPr>
                <w:sz w:val="20"/>
              </w:rPr>
              <w:t>• See Quality Validation Approach</w:t>
            </w:r>
          </w:p>
        </w:tc>
      </w:tr>
      <w:tr>
        <w:tc>
          <w:tcPr>
            <w:tcW w:type="dxa" w:w="1370"/>
            <w:vAlign w:val="top"/>
          </w:tcPr>
          <w:p>
            <w:pPr/>
            <w:r>
              <w:rPr>
                <w:sz w:val="20"/>
              </w:rPr>
              <w:t>NFR-002</w:t>
            </w:r>
          </w:p>
        </w:tc>
        <w:tc>
          <w:tcPr>
            <w:tcW w:type="dxa" w:w="2740"/>
            <w:vAlign w:val="top"/>
          </w:tcPr>
          <w:p>
            <w:pPr/>
            <w:r>
              <w:rPr>
                <w:sz w:val="20"/>
              </w:rPr>
            </w:r>
            <w:r>
              <w:rPr>
                <w:sz w:val="20"/>
              </w:rPr>
              <w:t>• Processing speed must be less than 3 minutes per document from upload to database population.</w:t>
            </w:r>
          </w:p>
        </w:tc>
        <w:tc>
          <w:tcPr>
            <w:tcW w:type="dxa" w:w="1370"/>
            <w:vAlign w:val="top"/>
          </w:tcPr>
          <w:p>
            <w:pPr/>
            <w:r>
              <w:rPr>
                <w:sz w:val="20"/>
              </w:rPr>
              <w:t>Fully Compliant</w:t>
            </w:r>
          </w:p>
        </w:tc>
        <w:tc>
          <w:tcPr>
            <w:tcW w:type="dxa" w:w="1580"/>
            <w:vAlign w:val="top"/>
          </w:tcPr>
          <w:p>
            <w:pPr/>
            <w:r>
              <w:rPr>
                <w:sz w:val="20"/>
              </w:rPr>
            </w:r>
            <w:r>
              <w:rPr>
                <w:sz w:val="20"/>
              </w:rPr>
              <w:t>• The serverless Azure architecture ensures parallel processing to maintain a sub-3-minute lifecycle per document.</w:t>
            </w:r>
          </w:p>
        </w:tc>
        <w:tc>
          <w:tcPr>
            <w:tcW w:type="dxa" w:w="1580"/>
            <w:vAlign w:val="top"/>
          </w:tcPr>
          <w:p>
            <w:pPr/>
            <w:r>
              <w:rPr>
                <w:sz w:val="20"/>
              </w:rPr>
            </w:r>
            <w:r>
              <w:rPr>
                <w:sz w:val="20"/>
              </w:rPr>
              <w:t>• See Technical Constraints</w:t>
            </w:r>
          </w:p>
        </w:tc>
      </w:tr>
      <w:tr>
        <w:tc>
          <w:tcPr>
            <w:tcW w:type="dxa" w:w="1370"/>
            <w:vAlign w:val="top"/>
          </w:tcPr>
          <w:p>
            <w:pPr/>
            <w:r>
              <w:rPr>
                <w:sz w:val="20"/>
              </w:rPr>
              <w:t>NFR-003</w:t>
            </w:r>
          </w:p>
        </w:tc>
        <w:tc>
          <w:tcPr>
            <w:tcW w:type="dxa" w:w="2740"/>
            <w:vAlign w:val="top"/>
          </w:tcPr>
          <w:p>
            <w:pPr/>
            <w:r>
              <w:rPr>
                <w:sz w:val="20"/>
              </w:rPr>
            </w:r>
            <w:r>
              <w:rPr>
                <w:sz w:val="20"/>
              </w:rPr>
              <w:t>• System must maintain 99.5% uptime (24/7).</w:t>
            </w:r>
          </w:p>
        </w:tc>
        <w:tc>
          <w:tcPr>
            <w:tcW w:type="dxa" w:w="1370"/>
            <w:vAlign w:val="top"/>
          </w:tcPr>
          <w:p>
            <w:pPr/>
            <w:r>
              <w:rPr>
                <w:sz w:val="20"/>
              </w:rPr>
              <w:t>Fully Compliant</w:t>
            </w:r>
          </w:p>
        </w:tc>
        <w:tc>
          <w:tcPr>
            <w:tcW w:type="dxa" w:w="1580"/>
            <w:vAlign w:val="top"/>
          </w:tcPr>
          <w:p>
            <w:pPr/>
            <w:r>
              <w:rPr>
                <w:sz w:val="20"/>
              </w:rPr>
            </w:r>
            <w:r>
              <w:rPr>
                <w:sz w:val="20"/>
              </w:rPr>
              <w:t>• The solution utilizes Azure's high-availability regions and redundant services to guarantee 99.5% uptime.</w:t>
            </w:r>
          </w:p>
        </w:tc>
        <w:tc>
          <w:tcPr>
            <w:tcW w:type="dxa" w:w="1580"/>
            <w:vAlign w:val="top"/>
          </w:tcPr>
          <w:p>
            <w:pPr/>
            <w:r>
              <w:rPr>
                <w:sz w:val="20"/>
              </w:rPr>
            </w:r>
            <w:r>
              <w:rPr>
                <w:sz w:val="20"/>
              </w:rPr>
              <w:t>• See SLAs and KPIs</w:t>
            </w:r>
          </w:p>
        </w:tc>
      </w:tr>
      <w:tr>
        <w:tc>
          <w:tcPr>
            <w:tcW w:type="dxa" w:w="1370"/>
            <w:vAlign w:val="top"/>
          </w:tcPr>
          <w:p>
            <w:pPr/>
            <w:r>
              <w:rPr>
                <w:sz w:val="20"/>
              </w:rPr>
              <w:t>NFR-004</w:t>
            </w:r>
          </w:p>
        </w:tc>
        <w:tc>
          <w:tcPr>
            <w:tcW w:type="dxa" w:w="2740"/>
            <w:vAlign w:val="top"/>
          </w:tcPr>
          <w:p>
            <w:pPr/>
            <w:r>
              <w:rPr>
                <w:sz w:val="20"/>
              </w:rPr>
            </w:r>
            <w:r>
              <w:rPr>
                <w:sz w:val="20"/>
              </w:rPr>
              <w:t>• Compliance with SOC 2 Type II, HIPAA/GDPR, and encryption standards (AES-256 at rest, TLS 1.3 in transit).</w:t>
            </w:r>
          </w:p>
        </w:tc>
        <w:tc>
          <w:tcPr>
            <w:tcW w:type="dxa" w:w="1370"/>
            <w:vAlign w:val="top"/>
          </w:tcPr>
          <w:p>
            <w:pPr/>
            <w:r>
              <w:rPr>
                <w:sz w:val="20"/>
              </w:rPr>
              <w:t>Fully Compliant</w:t>
            </w:r>
          </w:p>
        </w:tc>
        <w:tc>
          <w:tcPr>
            <w:tcW w:type="dxa" w:w="1580"/>
            <w:vAlign w:val="top"/>
          </w:tcPr>
          <w:p>
            <w:pPr/>
            <w:r>
              <w:rPr>
                <w:sz w:val="20"/>
              </w:rPr>
            </w:r>
            <w:r>
              <w:rPr>
                <w:sz w:val="20"/>
              </w:rPr>
              <w:t>• The entire solution is hosted within a SOC 2 compliant Azure tenant using industry-standard encryption.</w:t>
            </w:r>
          </w:p>
        </w:tc>
        <w:tc>
          <w:tcPr>
            <w:tcW w:type="dxa" w:w="1580"/>
            <w:vAlign w:val="top"/>
          </w:tcPr>
          <w:p>
            <w:pPr/>
            <w:r>
              <w:rPr>
                <w:sz w:val="20"/>
              </w:rPr>
            </w:r>
            <w:r>
              <w:rPr>
                <w:sz w:val="20"/>
              </w:rPr>
              <w:t>• See Proposed Solution</w:t>
            </w:r>
          </w:p>
        </w:tc>
      </w:tr>
    </w:tbl>
    <w:p/>
    <w:p>
      <w:r>
        <w:br w:type="page"/>
      </w:r>
    </w:p>
    <w:p>
      <w:pPr>
        <w:pStyle w:val="Heading1"/>
      </w:pPr>
      <w:r>
        <w:t>6.0 Delivery &amp; Engagement Approach</w:t>
      </w:r>
    </w:p>
    <w:p>
      <w:pPr>
        <w:pStyle w:val="Heading2"/>
      </w:pPr>
      <w:r>
        <w:t>6.1 Industry / Domain Expertise</w:t>
      </w:r>
    </w:p>
    <w:p>
      <w:r>
        <w:t>Our team possesses extensive experience in the LegalTech and Real Estate sectors, specifically focusing on the automation of high-value contract lifecycles. We understand the financial implications of missed lease dates and the complexities of multi-jurisdictional contract language, allowing us to build models that are context-aware.</w:t>
      </w:r>
    </w:p>
    <w:p>
      <w:pPr>
        <w:pStyle w:val="Heading2"/>
      </w:pPr>
      <w:r>
        <w:t>6.2 Domain-Specific Accelerators</w:t>
      </w:r>
    </w:p>
    <w:p>
      <w:pPr>
        <w:pStyle w:val="ListBullet"/>
      </w:pPr>
      <w:r>
        <w:t>Pre-built Lease Extraction Schema for commercial and residential real estate.</w:t>
      </w:r>
    </w:p>
    <w:p>
      <w:pPr>
        <w:pStyle w:val="ListBullet"/>
      </w:pPr>
      <w:r>
        <w:t>Standardized Azure Resource Manager (ARM) templates for rapid environment provisioning.</w:t>
      </w:r>
    </w:p>
    <w:p>
      <w:pPr>
        <w:pStyle w:val="Heading2"/>
      </w:pPr>
      <w:r>
        <w:t>6.3 Core Delivery Approach</w:t>
      </w:r>
    </w:p>
    <w:p>
      <w:r>
        <w:t>We utilize an Agile-based delivery methodology focused on iterative value. The project is divided into logical sprints, starting with a Minimum Viable Product (MVP) that handles core lease types before expanding to more complex contract variations. This ensures early feedback and alignment with Apex's business goals.</w:t>
      </w:r>
    </w:p>
    <w:p>
      <w:pPr>
        <w:pStyle w:val="Heading2"/>
      </w:pPr>
      <w:r>
        <w:t>6.4 Platform / Application Approach</w:t>
      </w:r>
    </w:p>
    <w:p>
      <w:r>
        <w:t>The solution is built on a serverless, cloud-native architecture within Microsoft Azure. We leverage Azure AI Document Intelligence for structural analysis and Azure OpenAI for semantic reasoning, coordinated by a robust orchestration layer that handles document state and integration logic.</w:t>
      </w:r>
    </w:p>
    <w:p>
      <w:pPr>
        <w:pStyle w:val="Heading2"/>
      </w:pPr>
      <w:r>
        <w:t>6.5 Data &amp; Quality Validation Approach</w:t>
      </w:r>
    </w:p>
    <w:p>
      <w:r>
        <w:t>Quality is ensured through a multi-stage validation process. Initial extractions are assigned confidence scores by the AI models. Any field with a score below the 88% threshold is flagged for human review. Furthermore, we implement cross-field validation rules (e.g., ensuring lease end dates are after start dates) to catch logical inconsistencies before data is committed to SAP.</w:t>
      </w:r>
    </w:p>
    <w:p>
      <w:pPr>
        <w:pStyle w:val="Heading2"/>
      </w:pPr>
      <w:r>
        <w:t>6.6 Automation &amp; Tooling Approach</w:t>
      </w:r>
    </w:p>
    <w:p>
      <w:r>
        <w:t>Our approach leverages Azure DevOps for CI/CD pipelines, ensuring automated testing of extraction models against a 'ground truth' dataset. Automated drift detection will be implemented to monitor model performance over time, triggering alerts if accuracy falls below the 92% threshold.</w:t>
      </w:r>
    </w:p>
    <w:p>
      <w:pPr>
        <w:pStyle w:val="Heading2"/>
      </w:pPr>
      <w:r>
        <w:t>6.7 Environment Setup &amp; Hosting</w:t>
      </w:r>
    </w:p>
    <w:p>
      <w:r>
        <w:t>The solution will be deployed within the client's private Azure Subscription in the US-East or US-East-2 regions. We will utilize Azure Resource Groups to isolate development, staging, and production environments, ensuring strict data residency and security compliance.</w:t>
      </w:r>
    </w:p>
    <w:p>
      <w:pPr>
        <w:pStyle w:val="Heading2"/>
      </w:pPr>
      <w:r>
        <w:t>6.8 Recommended Tooling Stack</w:t>
      </w:r>
    </w:p>
    <w:p>
      <w:pPr>
        <w:pStyle w:val="ListBullet"/>
      </w:pPr>
      <w:r>
        <w:t>Microsoft Azure</w:t>
      </w:r>
    </w:p>
    <w:p>
      <w:pPr>
        <w:pStyle w:val="ListBullet"/>
      </w:pPr>
      <w:r>
        <w:t>Azure AI Document Intelligence</w:t>
      </w:r>
    </w:p>
    <w:p>
      <w:pPr>
        <w:pStyle w:val="ListBullet"/>
      </w:pPr>
      <w:r>
        <w:t>Azure OpenAI (GPT-4o)</w:t>
      </w:r>
    </w:p>
    <w:p>
      <w:pPr>
        <w:pStyle w:val="ListBullet"/>
      </w:pPr>
      <w:r>
        <w:t>Azure Functions / Logic Apps</w:t>
      </w:r>
    </w:p>
    <w:p>
      <w:pPr>
        <w:pStyle w:val="ListBullet"/>
      </w:pPr>
      <w:r>
        <w:t>Azure DevOps</w:t>
      </w:r>
    </w:p>
    <w:p>
      <w:pPr>
        <w:pStyle w:val="ListBullet"/>
      </w:pPr>
      <w:r>
        <w:t>React.js (for HITL Portal)</w:t>
      </w:r>
    </w:p>
    <w:p>
      <w:pPr>
        <w:pStyle w:val="Heading2"/>
      </w:pPr>
      <w:r>
        <w:t>6.9 SLAs &amp; Quality KPIs</w:t>
      </w:r>
    </w:p>
    <w:tbl>
      <w:tblPr>
        <w:tblStyle w:val="TableGrid"/>
        <w:tblW w:type="auto" w:w="0"/>
        <w:tblLook w:firstColumn="1" w:firstRow="1" w:lastColumn="0" w:lastRow="0" w:noHBand="0" w:noVBand="1" w:val="04A0"/>
        <w:tblLayout w:type="fixed"/>
      </w:tblPr>
      <w:tblGrid>
        <w:gridCol w:w="4320"/>
        <w:gridCol w:w="4320"/>
      </w:tblGrid>
      <w:tr>
        <w:trPr>
          <w:tblHeader w:val="true"/>
        </w:trPr>
        <w:tc>
          <w:tcPr>
            <w:tcW w:type="dxa" w:w="4320"/>
            <w:shd w:val="clear" w:color="auto" w:fill="D9D9D9"/>
            <w:vAlign w:val="top"/>
          </w:tcPr>
          <w:p>
            <w:pPr/>
            <w:r>
              <w:rPr>
                <w:b/>
                <w:sz w:val="20"/>
              </w:rPr>
              <w:t>Metric</w:t>
            </w:r>
          </w:p>
        </w:tc>
        <w:tc>
          <w:tcPr>
            <w:tcW w:type="dxa" w:w="4320"/>
            <w:shd w:val="clear" w:color="auto" w:fill="D9D9D9"/>
            <w:vAlign w:val="top"/>
          </w:tcPr>
          <w:p>
            <w:pPr/>
            <w:r>
              <w:rPr>
                <w:b/>
                <w:sz w:val="20"/>
              </w:rPr>
              <w:t>Target</w:t>
            </w:r>
          </w:p>
        </w:tc>
      </w:tr>
      <w:tr>
        <w:tc>
          <w:tcPr>
            <w:tcW w:type="dxa" w:w="4320"/>
            <w:vAlign w:val="top"/>
          </w:tcPr>
          <w:p>
            <w:pPr/>
            <w:r>
              <w:rPr>
                <w:sz w:val="20"/>
              </w:rPr>
              <w:t>System Uptime</w:t>
            </w:r>
          </w:p>
        </w:tc>
        <w:tc>
          <w:tcPr>
            <w:tcW w:type="dxa" w:w="4320"/>
            <w:vAlign w:val="top"/>
          </w:tcPr>
          <w:p>
            <w:pPr/>
            <w:r>
              <w:rPr>
                <w:sz w:val="20"/>
              </w:rPr>
            </w:r>
            <w:r>
              <w:rPr>
                <w:sz w:val="20"/>
              </w:rPr>
              <w:t>• 99.5%</w:t>
            </w:r>
          </w:p>
        </w:tc>
      </w:tr>
      <w:tr>
        <w:tc>
          <w:tcPr>
            <w:tcW w:type="dxa" w:w="4320"/>
            <w:vAlign w:val="top"/>
          </w:tcPr>
          <w:p>
            <w:pPr/>
            <w:r>
              <w:rPr>
                <w:sz w:val="20"/>
              </w:rPr>
              <w:t>Extraction Accuracy</w:t>
            </w:r>
          </w:p>
        </w:tc>
        <w:tc>
          <w:tcPr>
            <w:tcW w:type="dxa" w:w="4320"/>
            <w:vAlign w:val="top"/>
          </w:tcPr>
          <w:p>
            <w:pPr/>
            <w:r>
              <w:rPr>
                <w:sz w:val="20"/>
              </w:rPr>
            </w:r>
            <w:r>
              <w:rPr>
                <w:sz w:val="20"/>
              </w:rPr>
              <w:t>• ≥ 92%</w:t>
            </w:r>
          </w:p>
        </w:tc>
      </w:tr>
      <w:tr>
        <w:tc>
          <w:tcPr>
            <w:tcW w:type="dxa" w:w="4320"/>
            <w:vAlign w:val="top"/>
          </w:tcPr>
          <w:p>
            <w:pPr/>
            <w:r>
              <w:rPr>
                <w:sz w:val="20"/>
              </w:rPr>
              <w:t>Processing Latency</w:t>
            </w:r>
          </w:p>
        </w:tc>
        <w:tc>
          <w:tcPr>
            <w:tcW w:type="dxa" w:w="4320"/>
            <w:vAlign w:val="top"/>
          </w:tcPr>
          <w:p>
            <w:pPr/>
            <w:r>
              <w:rPr>
                <w:sz w:val="20"/>
              </w:rPr>
            </w:r>
            <w:r>
              <w:rPr>
                <w:sz w:val="20"/>
              </w:rPr>
              <w:t>• &lt; 3 minutes per document</w:t>
            </w:r>
          </w:p>
        </w:tc>
      </w:tr>
      <w:tr>
        <w:tc>
          <w:tcPr>
            <w:tcW w:type="dxa" w:w="4320"/>
            <w:vAlign w:val="top"/>
          </w:tcPr>
          <w:p>
            <w:pPr/>
            <w:r>
              <w:rPr>
                <w:sz w:val="20"/>
              </w:rPr>
              <w:t>HITL Routing Accuracy</w:t>
            </w:r>
          </w:p>
        </w:tc>
        <w:tc>
          <w:tcPr>
            <w:tcW w:type="dxa" w:w="4320"/>
            <w:vAlign w:val="top"/>
          </w:tcPr>
          <w:p>
            <w:pPr/>
            <w:r>
              <w:rPr>
                <w:sz w:val="20"/>
              </w:rPr>
            </w:r>
            <w:r>
              <w:rPr>
                <w:sz w:val="20"/>
              </w:rPr>
              <w:t>• 100% of low-confidence items routed</w:t>
            </w:r>
          </w:p>
        </w:tc>
      </w:tr>
    </w:tbl>
    <w:p/>
    <w:p>
      <w:pPr>
        <w:pStyle w:val="Heading2"/>
      </w:pPr>
      <w:r>
        <w:t>6.10 Mobilisation &amp; Phased Roadmap</w:t>
      </w:r>
    </w:p>
    <w:tbl>
      <w:tblPr>
        <w:tblStyle w:val="TableGrid"/>
        <w:tblW w:type="auto" w:w="0"/>
        <w:tblLook w:firstColumn="1" w:firstRow="1" w:lastColumn="0" w:lastRow="0" w:noHBand="0" w:noVBand="1" w:val="04A0"/>
        <w:tblLayout w:type="fixed"/>
      </w:tblPr>
      <w:tblGrid>
        <w:gridCol w:w="1825"/>
        <w:gridCol w:w="1825"/>
        <w:gridCol w:w="1825"/>
        <w:gridCol w:w="3164"/>
      </w:tblGrid>
      <w:tr>
        <w:trPr>
          <w:tblHeader w:val="true"/>
        </w:trPr>
        <w:tc>
          <w:tcPr>
            <w:tcW w:type="dxa" w:w="1825"/>
            <w:shd w:val="clear" w:color="auto" w:fill="D9D9D9"/>
            <w:vAlign w:val="top"/>
          </w:tcPr>
          <w:p>
            <w:pPr/>
            <w:r>
              <w:rPr>
                <w:b/>
                <w:sz w:val="20"/>
              </w:rPr>
              <w:t>Phase</w:t>
            </w:r>
          </w:p>
        </w:tc>
        <w:tc>
          <w:tcPr>
            <w:tcW w:type="dxa" w:w="1825"/>
            <w:shd w:val="clear" w:color="auto" w:fill="D9D9D9"/>
            <w:vAlign w:val="top"/>
          </w:tcPr>
          <w:p>
            <w:pPr/>
            <w:r>
              <w:rPr>
                <w:b/>
                <w:sz w:val="20"/>
              </w:rPr>
              <w:t>Timing</w:t>
            </w:r>
          </w:p>
        </w:tc>
        <w:tc>
          <w:tcPr>
            <w:tcW w:type="dxa" w:w="1825"/>
            <w:shd w:val="clear" w:color="auto" w:fill="D9D9D9"/>
            <w:vAlign w:val="top"/>
          </w:tcPr>
          <w:p>
            <w:pPr/>
            <w:r>
              <w:rPr>
                <w:b/>
                <w:sz w:val="20"/>
              </w:rPr>
              <w:t>Deliverable</w:t>
            </w:r>
          </w:p>
        </w:tc>
        <w:tc>
          <w:tcPr>
            <w:tcW w:type="dxa" w:w="3164"/>
            <w:shd w:val="clear" w:color="auto" w:fill="D9D9D9"/>
            <w:vAlign w:val="top"/>
          </w:tcPr>
          <w:p>
            <w:pPr/>
            <w:r>
              <w:rPr>
                <w:b/>
                <w:sz w:val="20"/>
              </w:rPr>
              <w:t>Acceptance Criteria</w:t>
            </w:r>
          </w:p>
        </w:tc>
      </w:tr>
      <w:tr>
        <w:tc>
          <w:tcPr>
            <w:tcW w:type="dxa" w:w="1825"/>
            <w:vAlign w:val="top"/>
          </w:tcPr>
          <w:p>
            <w:pPr/>
            <w:r>
              <w:rPr>
                <w:sz w:val="20"/>
              </w:rPr>
              <w:t>Phase 1: Mobilization &amp; Design</w:t>
            </w:r>
          </w:p>
        </w:tc>
        <w:tc>
          <w:tcPr>
            <w:tcW w:type="dxa" w:w="1825"/>
            <w:vAlign w:val="top"/>
          </w:tcPr>
          <w:p>
            <w:pPr/>
            <w:r>
              <w:rPr>
                <w:sz w:val="20"/>
              </w:rPr>
              <w:t>Weeks 1-4</w:t>
            </w:r>
          </w:p>
        </w:tc>
        <w:tc>
          <w:tcPr>
            <w:tcW w:type="dxa" w:w="1825"/>
            <w:vAlign w:val="top"/>
          </w:tcPr>
          <w:p>
            <w:pPr/>
            <w:r>
              <w:rPr>
                <w:sz w:val="20"/>
              </w:rPr>
            </w:r>
            <w:r>
              <w:rPr>
                <w:sz w:val="20"/>
              </w:rPr>
              <w:t>• Project Kick-off &amp; Detailed Design</w:t>
            </w:r>
          </w:p>
        </w:tc>
        <w:tc>
          <w:tcPr>
            <w:tcW w:type="dxa" w:w="3164"/>
            <w:vAlign w:val="top"/>
          </w:tcPr>
          <w:p>
            <w:pPr/>
            <w:r>
              <w:rPr>
                <w:sz w:val="20"/>
              </w:rPr>
            </w:r>
            <w:r>
              <w:rPr>
                <w:sz w:val="20"/>
              </w:rPr>
              <w:t>• Approval of Project Charter and Solution Design Document (SDD).</w:t>
            </w:r>
          </w:p>
        </w:tc>
      </w:tr>
      <w:tr>
        <w:tc>
          <w:tcPr>
            <w:tcW w:type="dxa" w:w="1825"/>
            <w:vAlign w:val="top"/>
          </w:tcPr>
          <w:p>
            <w:pPr/>
            <w:r>
              <w:rPr>
                <w:sz w:val="20"/>
              </w:rPr>
              <w:t>Phase 2: Development &amp; Alpha Testing</w:t>
            </w:r>
          </w:p>
        </w:tc>
        <w:tc>
          <w:tcPr>
            <w:tcW w:type="dxa" w:w="1825"/>
            <w:vAlign w:val="top"/>
          </w:tcPr>
          <w:p>
            <w:pPr/>
            <w:r>
              <w:rPr>
                <w:sz w:val="20"/>
              </w:rPr>
              <w:t>Weeks 5-12</w:t>
            </w:r>
          </w:p>
        </w:tc>
        <w:tc>
          <w:tcPr>
            <w:tcW w:type="dxa" w:w="1825"/>
            <w:vAlign w:val="top"/>
          </w:tcPr>
          <w:p>
            <w:pPr/>
            <w:r>
              <w:rPr>
                <w:sz w:val="20"/>
              </w:rPr>
            </w:r>
            <w:r>
              <w:rPr>
                <w:sz w:val="20"/>
              </w:rPr>
              <w:t>• MVP Environment &amp; Core Model Training</w:t>
            </w:r>
          </w:p>
        </w:tc>
        <w:tc>
          <w:tcPr>
            <w:tcW w:type="dxa" w:w="3164"/>
            <w:vAlign w:val="top"/>
          </w:tcPr>
          <w:p>
            <w:pPr/>
            <w:r>
              <w:rPr>
                <w:sz w:val="20"/>
              </w:rPr>
            </w:r>
            <w:r>
              <w:rPr>
                <w:sz w:val="20"/>
              </w:rPr>
              <w:t>• Successful deployment of the Azure environment and initial model training.</w:t>
            </w:r>
          </w:p>
        </w:tc>
      </w:tr>
      <w:tr>
        <w:tc>
          <w:tcPr>
            <w:tcW w:type="dxa" w:w="1825"/>
            <w:vAlign w:val="top"/>
          </w:tcPr>
          <w:p>
            <w:pPr/>
            <w:r>
              <w:rPr>
                <w:sz w:val="20"/>
              </w:rPr>
              <w:t>Phase 3: Integration &amp; Beta Testing</w:t>
            </w:r>
          </w:p>
        </w:tc>
        <w:tc>
          <w:tcPr>
            <w:tcW w:type="dxa" w:w="1825"/>
            <w:vAlign w:val="top"/>
          </w:tcPr>
          <w:p>
            <w:pPr/>
            <w:r>
              <w:rPr>
                <w:sz w:val="20"/>
              </w:rPr>
              <w:t>Weeks 13-18</w:t>
            </w:r>
          </w:p>
        </w:tc>
        <w:tc>
          <w:tcPr>
            <w:tcW w:type="dxa" w:w="1825"/>
            <w:vAlign w:val="top"/>
          </w:tcPr>
          <w:p>
            <w:pPr/>
            <w:r>
              <w:rPr>
                <w:sz w:val="20"/>
              </w:rPr>
            </w:r>
            <w:r>
              <w:rPr>
                <w:sz w:val="20"/>
              </w:rPr>
              <w:t>• Beta Platform &amp; HITL Integration</w:t>
            </w:r>
          </w:p>
        </w:tc>
        <w:tc>
          <w:tcPr>
            <w:tcW w:type="dxa" w:w="3164"/>
            <w:vAlign w:val="top"/>
          </w:tcPr>
          <w:p>
            <w:pPr/>
            <w:r>
              <w:rPr>
                <w:sz w:val="20"/>
              </w:rPr>
            </w:r>
            <w:r>
              <w:rPr>
                <w:sz w:val="20"/>
              </w:rPr>
              <w:t>• Model achieves &gt;90% accuracy in controlled testing.</w:t>
            </w:r>
          </w:p>
        </w:tc>
      </w:tr>
      <w:tr>
        <w:tc>
          <w:tcPr>
            <w:tcW w:type="dxa" w:w="1825"/>
            <w:vAlign w:val="top"/>
          </w:tcPr>
          <w:p>
            <w:pPr/>
            <w:r>
              <w:rPr>
                <w:sz w:val="20"/>
              </w:rPr>
              <w:t>Phase 4: Validation &amp; UAT</w:t>
            </w:r>
          </w:p>
        </w:tc>
        <w:tc>
          <w:tcPr>
            <w:tcW w:type="dxa" w:w="1825"/>
            <w:vAlign w:val="top"/>
          </w:tcPr>
          <w:p>
            <w:pPr/>
            <w:r>
              <w:rPr>
                <w:sz w:val="20"/>
              </w:rPr>
              <w:t>Weeks 19-22</w:t>
            </w:r>
          </w:p>
        </w:tc>
        <w:tc>
          <w:tcPr>
            <w:tcW w:type="dxa" w:w="1825"/>
            <w:vAlign w:val="top"/>
          </w:tcPr>
          <w:p>
            <w:pPr/>
            <w:r>
              <w:rPr>
                <w:sz w:val="20"/>
              </w:rPr>
            </w:r>
            <w:r>
              <w:rPr>
                <w:sz w:val="20"/>
              </w:rPr>
              <w:t>• User Acceptance Testing (UAT) &amp; Training</w:t>
            </w:r>
          </w:p>
        </w:tc>
        <w:tc>
          <w:tcPr>
            <w:tcW w:type="dxa" w:w="3164"/>
            <w:vAlign w:val="top"/>
          </w:tcPr>
          <w:p>
            <w:pPr/>
            <w:r>
              <w:rPr>
                <w:sz w:val="20"/>
              </w:rPr>
            </w:r>
            <w:r>
              <w:rPr>
                <w:sz w:val="20"/>
              </w:rPr>
              <w:t>• Successful completion of UAT with 92% accuracy on production data.</w:t>
            </w:r>
          </w:p>
        </w:tc>
      </w:tr>
      <w:tr>
        <w:tc>
          <w:tcPr>
            <w:tcW w:type="dxa" w:w="1825"/>
            <w:vAlign w:val="top"/>
          </w:tcPr>
          <w:p>
            <w:pPr/>
            <w:r>
              <w:rPr>
                <w:sz w:val="20"/>
              </w:rPr>
              <w:t>Phase 5: Deployment &amp; Hypercare</w:t>
            </w:r>
          </w:p>
        </w:tc>
        <w:tc>
          <w:tcPr>
            <w:tcW w:type="dxa" w:w="1825"/>
            <w:vAlign w:val="top"/>
          </w:tcPr>
          <w:p>
            <w:pPr/>
            <w:r>
              <w:rPr>
                <w:sz w:val="20"/>
              </w:rPr>
              <w:t>Weeks 23-26</w:t>
            </w:r>
          </w:p>
        </w:tc>
        <w:tc>
          <w:tcPr>
            <w:tcW w:type="dxa" w:w="1825"/>
            <w:vAlign w:val="top"/>
          </w:tcPr>
          <w:p>
            <w:pPr/>
            <w:r>
              <w:rPr>
                <w:sz w:val="20"/>
              </w:rPr>
            </w:r>
            <w:r>
              <w:rPr>
                <w:sz w:val="20"/>
              </w:rPr>
              <w:t>• Production Go-Live &amp; Handover</w:t>
            </w:r>
          </w:p>
        </w:tc>
        <w:tc>
          <w:tcPr>
            <w:tcW w:type="dxa" w:w="3164"/>
            <w:vAlign w:val="top"/>
          </w:tcPr>
          <w:p>
            <w:pPr/>
            <w:r>
              <w:rPr>
                <w:sz w:val="20"/>
              </w:rPr>
            </w:r>
            <w:r>
              <w:rPr>
                <w:sz w:val="20"/>
              </w:rPr>
              <w:t>• Production deployment and transition to support.</w:t>
            </w:r>
          </w:p>
        </w:tc>
      </w:tr>
    </w:tbl>
    <w:p/>
    <w:p>
      <w:r>
        <w:br w:type="page"/>
      </w:r>
    </w:p>
    <w:p>
      <w:pPr>
        <w:pStyle w:val="Heading1"/>
      </w:pPr>
      <w:r>
        <w:t>7.0 Governance Model, Roles &amp; Responsibilities</w:t>
      </w:r>
    </w:p>
    <w:p>
      <w:pPr>
        <w:pStyle w:val="Heading2"/>
      </w:pPr>
      <w:r>
        <w:t>7.1 Governance Framework</w:t>
      </w:r>
    </w:p>
    <w:p>
      <w:r>
        <w:t>A formal Project Steering Committee will be established, meeting monthly to review progress against KPIs. Daily stand-ups and weekly status reports will ensure transparent communication between the delivery team and Apex stakeholders.</w:t>
      </w:r>
    </w:p>
    <w:p>
      <w:pPr>
        <w:pStyle w:val="Heading2"/>
      </w:pPr>
      <w:r>
        <w:t>7.2 RACI Matrix</w:t>
      </w:r>
    </w:p>
    <w:tbl>
      <w:tblPr>
        <w:tblStyle w:val="TableGrid"/>
        <w:tblW w:type="auto" w:w="0"/>
        <w:tblLook w:firstColumn="1" w:firstRow="1" w:lastColumn="0" w:lastRow="0" w:noHBand="0" w:noVBand="1" w:val="04A0"/>
        <w:tblLayout w:type="fixed"/>
      </w:tblPr>
      <w:tblGrid>
        <w:gridCol w:w="1728"/>
        <w:gridCol w:w="1728"/>
        <w:gridCol w:w="1728"/>
        <w:gridCol w:w="1728"/>
        <w:gridCol w:w="1728"/>
      </w:tblGrid>
      <w:tr>
        <w:trPr>
          <w:tblHeader w:val="true"/>
        </w:trPr>
        <w:tc>
          <w:tcPr>
            <w:tcW w:type="dxa" w:w="1728"/>
            <w:shd w:val="clear" w:color="auto" w:fill="D9D9D9"/>
            <w:vAlign w:val="top"/>
          </w:tcPr>
          <w:p>
            <w:pPr/>
            <w:r>
              <w:rPr>
                <w:b/>
                <w:sz w:val="20"/>
              </w:rPr>
              <w:t>Activity</w:t>
            </w:r>
          </w:p>
        </w:tc>
        <w:tc>
          <w:tcPr>
            <w:tcW w:type="dxa" w:w="1728"/>
            <w:shd w:val="clear" w:color="auto" w:fill="D9D9D9"/>
            <w:vAlign w:val="top"/>
          </w:tcPr>
          <w:p>
            <w:pPr/>
            <w:r>
              <w:rPr>
                <w:b/>
                <w:sz w:val="20"/>
              </w:rPr>
              <w:t>Responsible</w:t>
            </w:r>
          </w:p>
        </w:tc>
        <w:tc>
          <w:tcPr>
            <w:tcW w:type="dxa" w:w="1728"/>
            <w:shd w:val="clear" w:color="auto" w:fill="D9D9D9"/>
            <w:vAlign w:val="top"/>
          </w:tcPr>
          <w:p>
            <w:pPr/>
            <w:r>
              <w:rPr>
                <w:b/>
                <w:sz w:val="20"/>
              </w:rPr>
              <w:t>Accountable</w:t>
            </w:r>
          </w:p>
        </w:tc>
        <w:tc>
          <w:tcPr>
            <w:tcW w:type="dxa" w:w="1728"/>
            <w:shd w:val="clear" w:color="auto" w:fill="D9D9D9"/>
            <w:vAlign w:val="top"/>
          </w:tcPr>
          <w:p>
            <w:pPr/>
            <w:r>
              <w:rPr>
                <w:b/>
                <w:sz w:val="20"/>
              </w:rPr>
              <w:t>Consulted</w:t>
            </w:r>
          </w:p>
        </w:tc>
        <w:tc>
          <w:tcPr>
            <w:tcW w:type="dxa" w:w="1728"/>
            <w:shd w:val="clear" w:color="auto" w:fill="D9D9D9"/>
            <w:vAlign w:val="top"/>
          </w:tcPr>
          <w:p>
            <w:pPr/>
            <w:r>
              <w:rPr>
                <w:b/>
                <w:sz w:val="20"/>
              </w:rPr>
              <w:t>Informed</w:t>
            </w:r>
          </w:p>
        </w:tc>
      </w:tr>
      <w:tr>
        <w:tc>
          <w:tcPr>
            <w:tcW w:type="dxa" w:w="1728"/>
            <w:vAlign w:val="top"/>
          </w:tcPr>
          <w:p>
            <w:pPr/>
            <w:r>
              <w:rPr>
                <w:sz w:val="20"/>
              </w:rPr>
            </w:r>
            <w:r>
              <w:rPr>
                <w:sz w:val="20"/>
              </w:rPr>
              <w:t>• Project Charter Approval</w:t>
            </w:r>
          </w:p>
        </w:tc>
        <w:tc>
          <w:tcPr>
            <w:tcW w:type="dxa" w:w="1728"/>
            <w:vAlign w:val="top"/>
          </w:tcPr>
          <w:p>
            <w:pPr/>
            <w:r>
              <w:rPr>
                <w:sz w:val="20"/>
              </w:rPr>
              <w:t>Project Manager</w:t>
            </w:r>
          </w:p>
        </w:tc>
        <w:tc>
          <w:tcPr>
            <w:tcW w:type="dxa" w:w="1728"/>
            <w:vAlign w:val="top"/>
          </w:tcPr>
          <w:p>
            <w:pPr/>
            <w:r>
              <w:rPr>
                <w:sz w:val="20"/>
              </w:rPr>
              <w:t>Client Sponsor</w:t>
            </w:r>
          </w:p>
        </w:tc>
        <w:tc>
          <w:tcPr>
            <w:tcW w:type="dxa" w:w="1728"/>
            <w:vAlign w:val="top"/>
          </w:tcPr>
          <w:p>
            <w:pPr/>
            <w:r>
              <w:rPr>
                <w:sz w:val="20"/>
              </w:rPr>
              <w:t>Project Manager</w:t>
            </w:r>
          </w:p>
        </w:tc>
        <w:tc>
          <w:tcPr>
            <w:tcW w:type="dxa" w:w="1728"/>
            <w:vAlign w:val="top"/>
          </w:tcPr>
          <w:p>
            <w:pPr/>
            <w:r>
              <w:rPr>
                <w:sz w:val="20"/>
              </w:rPr>
              <w:t>Project Team</w:t>
            </w:r>
          </w:p>
        </w:tc>
      </w:tr>
      <w:tr>
        <w:tc>
          <w:tcPr>
            <w:tcW w:type="dxa" w:w="1728"/>
            <w:vAlign w:val="top"/>
          </w:tcPr>
          <w:p>
            <w:pPr/>
            <w:r>
              <w:rPr>
                <w:sz w:val="20"/>
              </w:rPr>
            </w:r>
            <w:r>
              <w:rPr>
                <w:sz w:val="20"/>
              </w:rPr>
              <w:t>• Solution Design</w:t>
            </w:r>
          </w:p>
        </w:tc>
        <w:tc>
          <w:tcPr>
            <w:tcW w:type="dxa" w:w="1728"/>
            <w:vAlign w:val="top"/>
          </w:tcPr>
          <w:p>
            <w:pPr/>
            <w:r>
              <w:rPr>
                <w:sz w:val="20"/>
              </w:rPr>
              <w:t>Solutions Architect</w:t>
            </w:r>
          </w:p>
        </w:tc>
        <w:tc>
          <w:tcPr>
            <w:tcW w:type="dxa" w:w="1728"/>
            <w:vAlign w:val="top"/>
          </w:tcPr>
          <w:p>
            <w:pPr/>
            <w:r>
              <w:rPr>
                <w:sz w:val="20"/>
              </w:rPr>
              <w:t>Project Manager</w:t>
            </w:r>
          </w:p>
        </w:tc>
        <w:tc>
          <w:tcPr>
            <w:tcW w:type="dxa" w:w="1728"/>
            <w:vAlign w:val="top"/>
          </w:tcPr>
          <w:p>
            <w:pPr/>
            <w:r>
              <w:rPr>
                <w:sz w:val="20"/>
              </w:rPr>
              <w:t>Client IT</w:t>
            </w:r>
          </w:p>
        </w:tc>
        <w:tc>
          <w:tcPr>
            <w:tcW w:type="dxa" w:w="1728"/>
            <w:vAlign w:val="top"/>
          </w:tcPr>
          <w:p>
            <w:pPr/>
            <w:r>
              <w:rPr>
                <w:sz w:val="20"/>
              </w:rPr>
              <w:t>Client Sponsor</w:t>
            </w:r>
          </w:p>
        </w:tc>
      </w:tr>
      <w:tr>
        <w:tc>
          <w:tcPr>
            <w:tcW w:type="dxa" w:w="1728"/>
            <w:vAlign w:val="top"/>
          </w:tcPr>
          <w:p>
            <w:pPr/>
            <w:r>
              <w:rPr>
                <w:sz w:val="20"/>
              </w:rPr>
            </w:r>
            <w:r>
              <w:rPr>
                <w:sz w:val="20"/>
              </w:rPr>
              <w:t>• Environment Setup</w:t>
            </w:r>
          </w:p>
        </w:tc>
        <w:tc>
          <w:tcPr>
            <w:tcW w:type="dxa" w:w="1728"/>
            <w:vAlign w:val="top"/>
          </w:tcPr>
          <w:p>
            <w:pPr/>
            <w:r>
              <w:rPr>
                <w:sz w:val="20"/>
              </w:rPr>
              <w:t>AI/ML Engineer</w:t>
            </w:r>
          </w:p>
        </w:tc>
        <w:tc>
          <w:tcPr>
            <w:tcW w:type="dxa" w:w="1728"/>
            <w:vAlign w:val="top"/>
          </w:tcPr>
          <w:p>
            <w:pPr/>
            <w:r>
              <w:rPr>
                <w:sz w:val="20"/>
              </w:rPr>
              <w:t>Solutions Architect</w:t>
            </w:r>
          </w:p>
        </w:tc>
        <w:tc>
          <w:tcPr>
            <w:tcW w:type="dxa" w:w="1728"/>
            <w:vAlign w:val="top"/>
          </w:tcPr>
          <w:p>
            <w:pPr/>
            <w:r>
              <w:rPr>
                <w:sz w:val="20"/>
              </w:rPr>
              <w:t>Client Security</w:t>
            </w:r>
          </w:p>
        </w:tc>
        <w:tc>
          <w:tcPr>
            <w:tcW w:type="dxa" w:w="1728"/>
            <w:vAlign w:val="top"/>
          </w:tcPr>
          <w:p>
            <w:pPr/>
            <w:r>
              <w:rPr>
                <w:sz w:val="20"/>
              </w:rPr>
              <w:t>Project Manager</w:t>
            </w:r>
          </w:p>
        </w:tc>
      </w:tr>
      <w:tr>
        <w:tc>
          <w:tcPr>
            <w:tcW w:type="dxa" w:w="1728"/>
            <w:vAlign w:val="top"/>
          </w:tcPr>
          <w:p>
            <w:pPr/>
            <w:r>
              <w:rPr>
                <w:sz w:val="20"/>
              </w:rPr>
            </w:r>
            <w:r>
              <w:rPr>
                <w:sz w:val="20"/>
              </w:rPr>
              <w:t>• User Acceptance Testing (UAT)</w:t>
            </w:r>
          </w:p>
        </w:tc>
        <w:tc>
          <w:tcPr>
            <w:tcW w:type="dxa" w:w="1728"/>
            <w:vAlign w:val="top"/>
          </w:tcPr>
          <w:p>
            <w:pPr/>
            <w:r>
              <w:rPr>
                <w:sz w:val="20"/>
              </w:rPr>
              <w:t>Client SMEs</w:t>
            </w:r>
          </w:p>
        </w:tc>
        <w:tc>
          <w:tcPr>
            <w:tcW w:type="dxa" w:w="1728"/>
            <w:vAlign w:val="top"/>
          </w:tcPr>
          <w:p>
            <w:pPr/>
            <w:r>
              <w:rPr>
                <w:sz w:val="20"/>
              </w:rPr>
              <w:t>Project Manager</w:t>
            </w:r>
          </w:p>
        </w:tc>
        <w:tc>
          <w:tcPr>
            <w:tcW w:type="dxa" w:w="1728"/>
            <w:vAlign w:val="top"/>
          </w:tcPr>
          <w:p>
            <w:pPr/>
            <w:r>
              <w:rPr>
                <w:sz w:val="20"/>
              </w:rPr>
              <w:t>Project Team</w:t>
            </w:r>
          </w:p>
        </w:tc>
        <w:tc>
          <w:tcPr>
            <w:tcW w:type="dxa" w:w="1728"/>
            <w:vAlign w:val="top"/>
          </w:tcPr>
          <w:p>
            <w:pPr/>
            <w:r>
              <w:rPr>
                <w:sz w:val="20"/>
              </w:rPr>
              <w:t>Client Sponsor</w:t>
            </w:r>
          </w:p>
        </w:tc>
      </w:tr>
    </w:tbl>
    <w:p/>
    <w:p>
      <w:pPr>
        <w:pStyle w:val="Heading2"/>
      </w:pPr>
      <w:r>
        <w:t>7.3 Escalation Paths &amp; Decision-Making</w:t>
      </w:r>
    </w:p>
    <w:p>
      <w:pPr>
        <w:pStyle w:val="ListBullet"/>
      </w:pPr>
      <w:r>
        <w:t>Level 1: Project Manager</w:t>
      </w:r>
    </w:p>
    <w:p>
      <w:pPr>
        <w:pStyle w:val="ListBullet"/>
      </w:pPr>
      <w:r>
        <w:t>Level 2: Delivery Director</w:t>
      </w:r>
    </w:p>
    <w:p>
      <w:pPr>
        <w:pStyle w:val="ListBullet"/>
      </w:pPr>
      <w:r>
        <w:t>Level 3: Executive Sponsor / VP of Operations</w:t>
      </w:r>
    </w:p>
    <w:p>
      <w:pPr>
        <w:pStyle w:val="Heading2"/>
      </w:pPr>
      <w:r>
        <w:t>7.4 Meeting Cadence &amp; Stakeholder Engagement</w:t>
      </w:r>
    </w:p>
    <w:tbl>
      <w:tblPr>
        <w:tblStyle w:val="TableGrid"/>
        <w:tblW w:type="auto" w:w="0"/>
        <w:tblLook w:firstColumn="1" w:firstRow="1" w:lastColumn="0" w:lastRow="0" w:noHBand="0" w:noVBand="1" w:val="04A0"/>
        <w:tblLayout w:type="fixed"/>
      </w:tblPr>
      <w:tblGrid>
        <w:gridCol w:w="3014"/>
        <w:gridCol w:w="2612"/>
        <w:gridCol w:w="3014"/>
      </w:tblGrid>
      <w:tr>
        <w:trPr>
          <w:tblHeader w:val="true"/>
        </w:trPr>
        <w:tc>
          <w:tcPr>
            <w:tcW w:type="dxa" w:w="3014"/>
            <w:shd w:val="clear" w:color="auto" w:fill="D9D9D9"/>
            <w:vAlign w:val="top"/>
          </w:tcPr>
          <w:p>
            <w:pPr/>
            <w:r>
              <w:rPr>
                <w:b/>
                <w:sz w:val="20"/>
              </w:rPr>
              <w:t>Meeting</w:t>
            </w:r>
          </w:p>
        </w:tc>
        <w:tc>
          <w:tcPr>
            <w:tcW w:type="dxa" w:w="2612"/>
            <w:shd w:val="clear" w:color="auto" w:fill="D9D9D9"/>
            <w:vAlign w:val="top"/>
          </w:tcPr>
          <w:p>
            <w:pPr/>
            <w:r>
              <w:rPr>
                <w:b/>
                <w:sz w:val="20"/>
              </w:rPr>
              <w:t>Frequency</w:t>
            </w:r>
          </w:p>
        </w:tc>
        <w:tc>
          <w:tcPr>
            <w:tcW w:type="dxa" w:w="3014"/>
            <w:shd w:val="clear" w:color="auto" w:fill="D9D9D9"/>
            <w:vAlign w:val="top"/>
          </w:tcPr>
          <w:p>
            <w:pPr/>
            <w:r>
              <w:rPr>
                <w:b/>
                <w:sz w:val="20"/>
              </w:rPr>
              <w:t>Attendees</w:t>
            </w:r>
          </w:p>
        </w:tc>
      </w:tr>
      <w:tr>
        <w:tc>
          <w:tcPr>
            <w:tcW w:type="dxa" w:w="3014"/>
            <w:vAlign w:val="top"/>
          </w:tcPr>
          <w:p>
            <w:pPr/>
            <w:r>
              <w:rPr>
                <w:sz w:val="20"/>
              </w:rPr>
              <w:t>Daily Stand-up</w:t>
            </w:r>
          </w:p>
        </w:tc>
        <w:tc>
          <w:tcPr>
            <w:tcW w:type="dxa" w:w="2612"/>
            <w:vAlign w:val="top"/>
          </w:tcPr>
          <w:p>
            <w:pPr/>
            <w:r>
              <w:rPr>
                <w:sz w:val="20"/>
              </w:rPr>
              <w:t>Daily</w:t>
            </w:r>
          </w:p>
        </w:tc>
        <w:tc>
          <w:tcPr>
            <w:tcW w:type="dxa" w:w="3014"/>
            <w:vAlign w:val="top"/>
          </w:tcPr>
          <w:p>
            <w:pPr/>
            <w:r>
              <w:rPr>
                <w:sz w:val="20"/>
              </w:rPr>
            </w:r>
            <w:r>
              <w:rPr>
                <w:sz w:val="20"/>
              </w:rPr>
              <w:t>• Project Team</w:t>
            </w:r>
          </w:p>
        </w:tc>
      </w:tr>
      <w:tr>
        <w:tc>
          <w:tcPr>
            <w:tcW w:type="dxa" w:w="3014"/>
            <w:vAlign w:val="top"/>
          </w:tcPr>
          <w:p>
            <w:pPr/>
            <w:r>
              <w:rPr>
                <w:sz w:val="20"/>
              </w:rPr>
              <w:t>Status Review</w:t>
            </w:r>
          </w:p>
        </w:tc>
        <w:tc>
          <w:tcPr>
            <w:tcW w:type="dxa" w:w="2612"/>
            <w:vAlign w:val="top"/>
          </w:tcPr>
          <w:p>
            <w:pPr/>
            <w:r>
              <w:rPr>
                <w:sz w:val="20"/>
              </w:rPr>
              <w:t>Weekly</w:t>
            </w:r>
          </w:p>
        </w:tc>
        <w:tc>
          <w:tcPr>
            <w:tcW w:type="dxa" w:w="3014"/>
            <w:vAlign w:val="top"/>
          </w:tcPr>
          <w:p>
            <w:pPr/>
            <w:r>
              <w:rPr>
                <w:sz w:val="20"/>
              </w:rPr>
            </w:r>
            <w:r>
              <w:rPr>
                <w:sz w:val="20"/>
              </w:rPr>
              <w:t>• Project Manager, Client Lead</w:t>
            </w:r>
          </w:p>
        </w:tc>
      </w:tr>
      <w:tr>
        <w:tc>
          <w:tcPr>
            <w:tcW w:type="dxa" w:w="3014"/>
            <w:vAlign w:val="top"/>
          </w:tcPr>
          <w:p>
            <w:pPr/>
            <w:r>
              <w:rPr>
                <w:sz w:val="20"/>
              </w:rPr>
              <w:t>Steering Committee</w:t>
            </w:r>
          </w:p>
        </w:tc>
        <w:tc>
          <w:tcPr>
            <w:tcW w:type="dxa" w:w="2612"/>
            <w:vAlign w:val="top"/>
          </w:tcPr>
          <w:p>
            <w:pPr/>
            <w:r>
              <w:rPr>
                <w:sz w:val="20"/>
              </w:rPr>
              <w:t>Monthly</w:t>
            </w:r>
          </w:p>
        </w:tc>
        <w:tc>
          <w:tcPr>
            <w:tcW w:type="dxa" w:w="3014"/>
            <w:vAlign w:val="top"/>
          </w:tcPr>
          <w:p>
            <w:pPr/>
            <w:r>
              <w:rPr>
                <w:sz w:val="20"/>
              </w:rPr>
            </w:r>
            <w:r>
              <w:rPr>
                <w:sz w:val="20"/>
              </w:rPr>
              <w:t>• Executive Sponsors, Project Leads</w:t>
            </w:r>
          </w:p>
        </w:tc>
      </w:tr>
    </w:tbl>
    <w:p/>
    <w:p>
      <w:r>
        <w:br w:type="page"/>
      </w:r>
    </w:p>
    <w:p>
      <w:pPr>
        <w:pStyle w:val="Heading1"/>
      </w:pPr>
      <w:r>
        <w:t>8.0 Indicative Profiles &amp; Team Structure</w:t>
      </w:r>
    </w:p>
    <w:p>
      <w:pPr>
        <w:pStyle w:val="Heading2"/>
      </w:pPr>
      <w:r>
        <w:t>8.1 Team Structure &amp; Allocation</w:t>
      </w:r>
    </w:p>
    <w:tbl>
      <w:tblPr>
        <w:tblStyle w:val="TableGrid"/>
        <w:tblW w:type="auto" w:w="0"/>
        <w:tblLook w:firstColumn="1" w:firstRow="1" w:lastColumn="0" w:lastRow="0" w:noHBand="0" w:noVBand="1" w:val="04A0"/>
        <w:tblLayout w:type="fixed"/>
      </w:tblPr>
      <w:tblGrid>
        <w:gridCol w:w="4011"/>
        <w:gridCol w:w="4629"/>
      </w:tblGrid>
      <w:tr>
        <w:trPr>
          <w:tblHeader w:val="true"/>
        </w:trPr>
        <w:tc>
          <w:tcPr>
            <w:tcW w:type="dxa" w:w="4011"/>
            <w:shd w:val="clear" w:color="auto" w:fill="D9D9D9"/>
            <w:vAlign w:val="top"/>
          </w:tcPr>
          <w:p>
            <w:pPr/>
            <w:r>
              <w:rPr>
                <w:b/>
                <w:sz w:val="20"/>
              </w:rPr>
              <w:t>Role</w:t>
            </w:r>
          </w:p>
        </w:tc>
        <w:tc>
          <w:tcPr>
            <w:tcW w:type="dxa" w:w="4629"/>
            <w:shd w:val="clear" w:color="auto" w:fill="D9D9D9"/>
            <w:vAlign w:val="top"/>
          </w:tcPr>
          <w:p>
            <w:pPr/>
            <w:r>
              <w:rPr>
                <w:b/>
                <w:sz w:val="20"/>
              </w:rPr>
              <w:t>Allocation</w:t>
            </w:r>
          </w:p>
        </w:tc>
      </w:tr>
      <w:tr>
        <w:tc>
          <w:tcPr>
            <w:tcW w:type="dxa" w:w="4011"/>
            <w:vAlign w:val="top"/>
          </w:tcPr>
          <w:p>
            <w:pPr/>
            <w:r>
              <w:rPr>
                <w:sz w:val="20"/>
              </w:rPr>
              <w:t>Project Manager</w:t>
            </w:r>
          </w:p>
        </w:tc>
        <w:tc>
          <w:tcPr>
            <w:tcW w:type="dxa" w:w="4629"/>
            <w:vAlign w:val="top"/>
          </w:tcPr>
          <w:p>
            <w:pPr/>
            <w:r>
              <w:rPr>
                <w:sz w:val="20"/>
              </w:rPr>
              <w:t>50%</w:t>
            </w:r>
          </w:p>
        </w:tc>
      </w:tr>
      <w:tr>
        <w:tc>
          <w:tcPr>
            <w:tcW w:type="dxa" w:w="4011"/>
            <w:vAlign w:val="top"/>
          </w:tcPr>
          <w:p>
            <w:pPr/>
            <w:r>
              <w:rPr>
                <w:sz w:val="20"/>
              </w:rPr>
              <w:t>Solutions Architect</w:t>
            </w:r>
          </w:p>
        </w:tc>
        <w:tc>
          <w:tcPr>
            <w:tcW w:type="dxa" w:w="4629"/>
            <w:vAlign w:val="top"/>
          </w:tcPr>
          <w:p>
            <w:pPr/>
            <w:r>
              <w:rPr>
                <w:sz w:val="20"/>
              </w:rPr>
              <w:t>100%</w:t>
            </w:r>
          </w:p>
        </w:tc>
      </w:tr>
      <w:tr>
        <w:tc>
          <w:tcPr>
            <w:tcW w:type="dxa" w:w="4011"/>
            <w:vAlign w:val="top"/>
          </w:tcPr>
          <w:p>
            <w:pPr/>
            <w:r>
              <w:rPr>
                <w:sz w:val="20"/>
              </w:rPr>
              <w:t>AI/ML Engineer</w:t>
            </w:r>
          </w:p>
        </w:tc>
        <w:tc>
          <w:tcPr>
            <w:tcW w:type="dxa" w:w="4629"/>
            <w:vAlign w:val="top"/>
          </w:tcPr>
          <w:p>
            <w:pPr/>
            <w:r>
              <w:rPr>
                <w:sz w:val="20"/>
              </w:rPr>
              <w:t>100%</w:t>
            </w:r>
          </w:p>
        </w:tc>
      </w:tr>
      <w:tr>
        <w:tc>
          <w:tcPr>
            <w:tcW w:type="dxa" w:w="4011"/>
            <w:vAlign w:val="top"/>
          </w:tcPr>
          <w:p>
            <w:pPr/>
            <w:r>
              <w:rPr>
                <w:sz w:val="20"/>
              </w:rPr>
              <w:t>Integration Specialist</w:t>
            </w:r>
          </w:p>
        </w:tc>
        <w:tc>
          <w:tcPr>
            <w:tcW w:type="dxa" w:w="4629"/>
            <w:vAlign w:val="top"/>
          </w:tcPr>
          <w:p>
            <w:pPr/>
            <w:r>
              <w:rPr>
                <w:sz w:val="20"/>
              </w:rPr>
              <w:t>75%</w:t>
            </w:r>
          </w:p>
        </w:tc>
      </w:tr>
    </w:tbl>
    <w:p/>
    <w:p>
      <w:pPr>
        <w:pStyle w:val="Heading2"/>
      </w:pPr>
      <w:r>
        <w:t>8.2 Key Personnel Profiles</w:t>
      </w:r>
    </w:p>
    <w:tbl>
      <w:tblPr>
        <w:tblStyle w:val="TableGrid"/>
        <w:tblW w:type="auto" w:w="0"/>
        <w:tblLook w:firstColumn="1" w:firstRow="1" w:lastColumn="0" w:lastRow="0" w:noHBand="0" w:noVBand="1" w:val="04A0"/>
        <w:tblLayout w:type="fixed"/>
      </w:tblPr>
      <w:tblGrid>
        <w:gridCol w:w="2880"/>
        <w:gridCol w:w="5760"/>
      </w:tblGrid>
      <w:tr>
        <w:trPr>
          <w:tblHeader w:val="true"/>
        </w:trPr>
        <w:tc>
          <w:tcPr>
            <w:tcW w:type="dxa" w:w="2880"/>
            <w:shd w:val="clear" w:color="auto" w:fill="D9D9D9"/>
            <w:vAlign w:val="top"/>
          </w:tcPr>
          <w:p>
            <w:pPr/>
            <w:r>
              <w:rPr>
                <w:b/>
                <w:sz w:val="20"/>
              </w:rPr>
              <w:t>Role</w:t>
            </w:r>
          </w:p>
        </w:tc>
        <w:tc>
          <w:tcPr>
            <w:tcW w:type="dxa" w:w="5760"/>
            <w:shd w:val="clear" w:color="auto" w:fill="D9D9D9"/>
            <w:vAlign w:val="top"/>
          </w:tcPr>
          <w:p>
            <w:pPr/>
            <w:r>
              <w:rPr>
                <w:b/>
                <w:sz w:val="20"/>
              </w:rPr>
              <w:t>Responsibilities</w:t>
            </w:r>
          </w:p>
        </w:tc>
      </w:tr>
      <w:tr>
        <w:tc>
          <w:tcPr>
            <w:tcW w:type="dxa" w:w="2880"/>
            <w:vAlign w:val="top"/>
          </w:tcPr>
          <w:p>
            <w:pPr/>
            <w:r>
              <w:rPr>
                <w:sz w:val="20"/>
              </w:rPr>
              <w:t>Project Manager</w:t>
            </w:r>
          </w:p>
        </w:tc>
        <w:tc>
          <w:tcPr>
            <w:tcW w:type="dxa" w:w="5760"/>
            <w:vAlign w:val="top"/>
          </w:tcPr>
          <w:p>
            <w:pPr/>
            <w:r>
              <w:rPr>
                <w:sz w:val="20"/>
              </w:rPr>
            </w:r>
            <w:r>
              <w:rPr>
                <w:sz w:val="20"/>
              </w:rPr>
              <w:t>• Overall project delivery, stakeholder management, and budget oversight.</w:t>
            </w:r>
          </w:p>
        </w:tc>
      </w:tr>
      <w:tr>
        <w:tc>
          <w:tcPr>
            <w:tcW w:type="dxa" w:w="2880"/>
            <w:vAlign w:val="top"/>
          </w:tcPr>
          <w:p>
            <w:pPr/>
            <w:r>
              <w:rPr>
                <w:sz w:val="20"/>
              </w:rPr>
              <w:t>Solutions Architect</w:t>
            </w:r>
          </w:p>
        </w:tc>
        <w:tc>
          <w:tcPr>
            <w:tcW w:type="dxa" w:w="5760"/>
            <w:vAlign w:val="top"/>
          </w:tcPr>
          <w:p>
            <w:pPr/>
            <w:r>
              <w:rPr>
                <w:sz w:val="20"/>
              </w:rPr>
            </w:r>
            <w:r>
              <w:rPr>
                <w:sz w:val="20"/>
              </w:rPr>
              <w:t>• Lead architectural design and Azure infrastructure configuration.</w:t>
            </w:r>
          </w:p>
        </w:tc>
      </w:tr>
      <w:tr>
        <w:tc>
          <w:tcPr>
            <w:tcW w:type="dxa" w:w="2880"/>
            <w:vAlign w:val="top"/>
          </w:tcPr>
          <w:p>
            <w:pPr/>
            <w:r>
              <w:rPr>
                <w:sz w:val="20"/>
              </w:rPr>
              <w:t>AI/ML Engineer</w:t>
            </w:r>
          </w:p>
        </w:tc>
        <w:tc>
          <w:tcPr>
            <w:tcW w:type="dxa" w:w="5760"/>
            <w:vAlign w:val="top"/>
          </w:tcPr>
          <w:p>
            <w:pPr/>
            <w:r>
              <w:rPr>
                <w:sz w:val="20"/>
              </w:rPr>
            </w:r>
            <w:r>
              <w:rPr>
                <w:sz w:val="20"/>
              </w:rPr>
              <w:t>• Model development, fine-tuning, and accuracy optimization.</w:t>
            </w:r>
          </w:p>
        </w:tc>
      </w:tr>
      <w:tr>
        <w:tc>
          <w:tcPr>
            <w:tcW w:type="dxa" w:w="2880"/>
            <w:vAlign w:val="top"/>
          </w:tcPr>
          <w:p>
            <w:pPr/>
            <w:r>
              <w:rPr>
                <w:sz w:val="20"/>
              </w:rPr>
              <w:t>Integration Specialist</w:t>
            </w:r>
          </w:p>
        </w:tc>
        <w:tc>
          <w:tcPr>
            <w:tcW w:type="dxa" w:w="5760"/>
            <w:vAlign w:val="top"/>
          </w:tcPr>
          <w:p>
            <w:pPr/>
            <w:r>
              <w:rPr>
                <w:sz w:val="20"/>
              </w:rPr>
            </w:r>
            <w:r>
              <w:rPr>
                <w:sz w:val="20"/>
              </w:rPr>
              <w:t>• SAP and SharePoint API integration development.</w:t>
            </w:r>
          </w:p>
        </w:tc>
      </w:tr>
    </w:tbl>
    <w:p/>
    <w:p>
      <w:pPr>
        <w:pStyle w:val="Heading2"/>
      </w:pPr>
      <w:r>
        <w:t>8.3 Skills Matrix &amp; Certifications</w:t>
      </w:r>
    </w:p>
    <w:p>
      <w:pPr>
        <w:pStyle w:val="ListBullet"/>
      </w:pPr>
      <w:r>
        <w:t>Microsoft Certified: Azure Solutions Architect Expert</w:t>
      </w:r>
    </w:p>
    <w:p>
      <w:pPr>
        <w:pStyle w:val="ListBullet"/>
      </w:pPr>
      <w:r>
        <w:t>Microsoft Certified: Azure AI Engineer Associate</w:t>
      </w:r>
    </w:p>
    <w:p>
      <w:pPr>
        <w:pStyle w:val="ListBullet"/>
      </w:pPr>
      <w:r>
        <w:t>SAP Certified Integration Associate</w:t>
      </w:r>
    </w:p>
    <w:p>
      <w:pPr>
        <w:pStyle w:val="ListBullet"/>
      </w:pPr>
      <w:r>
        <w:t>SOC 2 Type II Compliance Framework Knowledge</w:t>
      </w:r>
    </w:p>
    <w:p>
      <w:r>
        <w:br w:type="page"/>
      </w:r>
    </w:p>
    <w:p>
      <w:pPr>
        <w:pStyle w:val="Heading1"/>
      </w:pPr>
      <w:r>
        <w:t>9.0 Qualifications</w:t>
      </w:r>
    </w:p>
    <w:p>
      <w:r>
        <w:t>Our organization specializes in deploying enterprise-grade AI solutions within the Microsoft Azure ecosystem. We have a dedicated team of AI/ML engineers and integration specialists who have successfully delivered similar document automation projects for large-scale real estate and financial services firms. Our expertise spans the full lifecycle of AI development, from initial model selection and fine-tuning to production-scale deployment and integration with complex ERP systems like SAP. We are committed to maintaining the highest standards of data security and compliance, as evidenced by our alignment with SOC 2 Type II and GDPR frameworks.</w:t>
      </w:r>
    </w:p>
    <w:p>
      <w:r>
        <w:br w:type="page"/>
      </w:r>
    </w:p>
    <w:p>
      <w:pPr>
        <w:pStyle w:val="Heading1"/>
      </w:pPr>
      <w:r>
        <w:t>10.0 Key Assumptions &amp; Dependencies</w:t>
      </w:r>
    </w:p>
    <w:p>
      <w:pPr>
        <w:pStyle w:val="Heading2"/>
      </w:pPr>
      <w:r>
        <w:t>10.1 Project Assumptions</w:t>
      </w:r>
    </w:p>
    <w:p>
      <w:pPr>
        <w:pStyle w:val="ListBullet"/>
      </w:pPr>
      <w:r>
        <w:t>Historical data in SharePoint is accessible and structured enough for initial ingestion testing.</w:t>
      </w:r>
    </w:p>
    <w:p>
      <w:pPr>
        <w:pStyle w:val="ListBullet"/>
      </w:pPr>
      <w:r>
        <w:t>The SAP/Property Management DB has available RESTful API endpoints for data ingestion.</w:t>
      </w:r>
    </w:p>
    <w:p>
      <w:pPr>
        <w:pStyle w:val="ListBullet"/>
      </w:pPr>
      <w:r>
        <w:t>The 15,000 historical documents are representative of future document variety and complexity.</w:t>
      </w:r>
    </w:p>
    <w:p>
      <w:pPr>
        <w:pStyle w:val="Heading2"/>
      </w:pPr>
      <w:r>
        <w:t>10.2 Client Responsibilities &amp; Dependencies</w:t>
      </w:r>
    </w:p>
    <w:p>
      <w:pPr>
        <w:pStyle w:val="ListBullet"/>
      </w:pPr>
      <w:r>
        <w:t>Provisioning of service accounts with necessary permissions for SharePoint and SAP APIs.</w:t>
      </w:r>
    </w:p>
    <w:p>
      <w:pPr>
        <w:pStyle w:val="ListBullet"/>
      </w:pPr>
      <w:r>
        <w:t>Access to a representative sample of 1,000 documents for model fine-tuning and validation.</w:t>
      </w:r>
    </w:p>
    <w:p>
      <w:pPr>
        <w:pStyle w:val="ListBullet"/>
      </w:pPr>
      <w:r>
        <w:t>Timely feedback from subject matter experts (SMEs) during the UAT phase.</w:t>
      </w:r>
    </w:p>
    <w:p>
      <w:pPr>
        <w:pStyle w:val="Heading2"/>
      </w:pPr>
      <w:r>
        <w:t>10.3 Risk Management &amp; Mitigation Matrix</w:t>
      </w:r>
    </w:p>
    <w:tbl>
      <w:tblPr>
        <w:tblStyle w:val="TableGrid"/>
        <w:tblW w:type="auto" w:w="0"/>
        <w:tblLook w:firstColumn="1" w:firstRow="1" w:lastColumn="0" w:lastRow="0" w:noHBand="0" w:noVBand="1" w:val="04A0"/>
        <w:tblLayout w:type="fixed"/>
      </w:tblPr>
      <w:tblGrid>
        <w:gridCol w:w="3161"/>
        <w:gridCol w:w="5479"/>
      </w:tblGrid>
      <w:tr>
        <w:trPr>
          <w:tblHeader w:val="true"/>
        </w:trPr>
        <w:tc>
          <w:tcPr>
            <w:tcW w:type="dxa" w:w="3161"/>
            <w:shd w:val="clear" w:color="auto" w:fill="D9D9D9"/>
            <w:vAlign w:val="top"/>
          </w:tcPr>
          <w:p>
            <w:pPr/>
            <w:r>
              <w:rPr>
                <w:b/>
                <w:sz w:val="20"/>
              </w:rPr>
              <w:t>Risk</w:t>
            </w:r>
          </w:p>
        </w:tc>
        <w:tc>
          <w:tcPr>
            <w:tcW w:type="dxa" w:w="5479"/>
            <w:shd w:val="clear" w:color="auto" w:fill="D9D9D9"/>
            <w:vAlign w:val="top"/>
          </w:tcPr>
          <w:p>
            <w:pPr/>
            <w:r>
              <w:rPr>
                <w:b/>
                <w:sz w:val="20"/>
              </w:rPr>
              <w:t>Mitigation</w:t>
            </w:r>
          </w:p>
        </w:tc>
      </w:tr>
      <w:tr>
        <w:tc>
          <w:tcPr>
            <w:tcW w:type="dxa" w:w="3161"/>
            <w:vAlign w:val="top"/>
          </w:tcPr>
          <w:p>
            <w:pPr/>
            <w:r>
              <w:rPr>
                <w:sz w:val="20"/>
              </w:rPr>
            </w:r>
            <w:r>
              <w:rPr>
                <w:sz w:val="20"/>
              </w:rPr>
              <w:t>• Lower than expected extraction accuracy on non-standard lease formats.</w:t>
            </w:r>
          </w:p>
        </w:tc>
        <w:tc>
          <w:tcPr>
            <w:tcW w:type="dxa" w:w="5479"/>
            <w:vAlign w:val="top"/>
          </w:tcPr>
          <w:p>
            <w:pPr/>
            <w:r>
              <w:rPr>
                <w:sz w:val="20"/>
              </w:rPr>
            </w:r>
            <w:r>
              <w:rPr>
                <w:sz w:val="20"/>
              </w:rPr>
              <w:t>• Use of multi-modal AI (OCR + LLM) to handle varied formats; iterative training cycles.</w:t>
            </w:r>
          </w:p>
        </w:tc>
      </w:tr>
      <w:tr>
        <w:tc>
          <w:tcPr>
            <w:tcW w:type="dxa" w:w="3161"/>
            <w:vAlign w:val="top"/>
          </w:tcPr>
          <w:p>
            <w:pPr/>
            <w:r>
              <w:rPr>
                <w:sz w:val="20"/>
              </w:rPr>
            </w:r>
            <w:r>
              <w:rPr>
                <w:sz w:val="20"/>
              </w:rPr>
              <w:t>• Delays in SAP API integration due to schema complexities.</w:t>
            </w:r>
          </w:p>
        </w:tc>
        <w:tc>
          <w:tcPr>
            <w:tcW w:type="dxa" w:w="5479"/>
            <w:vAlign w:val="top"/>
          </w:tcPr>
          <w:p>
            <w:pPr/>
            <w:r>
              <w:rPr>
                <w:sz w:val="20"/>
              </w:rPr>
            </w:r>
            <w:r>
              <w:rPr>
                <w:sz w:val="20"/>
              </w:rPr>
              <w:t>• Early validation of API endpoints and mock data testing during Phase 1.</w:t>
            </w:r>
          </w:p>
        </w:tc>
      </w:tr>
    </w:tbl>
    <w:p/>
    <w:p>
      <w:r>
        <w:br w:type="page"/>
      </w:r>
    </w:p>
    <w:p>
      <w:pPr>
        <w:pStyle w:val="Heading1"/>
      </w:pPr>
      <w:r>
        <w:t>11.0 Commercial Proposal &amp; Total Cost of Ownership (TCO)</w:t>
      </w:r>
    </w:p>
    <w:p>
      <w:pPr>
        <w:pStyle w:val="Heading2"/>
      </w:pPr>
      <w:r>
        <w:t>11.1 Fixed-Fee Implementation Schedule</w:t>
      </w:r>
    </w:p>
    <w:p>
      <w:r>
        <w:t>Our pricing model is divided into a fixed-fee implementation phase and a recurring managed service component. The implementation covers all activities from design through go-live. Post-launch, a tiered subscription model based on document volume provides a predictable cost structure for ongoing operations and model maintenance.</w:t>
      </w:r>
    </w:p>
    <w:tbl>
      <w:tblPr>
        <w:tblStyle w:val="TableGrid"/>
        <w:tblW w:type="auto" w:w="0"/>
        <w:tblLook w:firstColumn="1" w:firstRow="1" w:lastColumn="0" w:lastRow="0" w:noHBand="0" w:noVBand="1" w:val="04A0"/>
        <w:tblLayout w:type="fixed"/>
      </w:tblPr>
      <w:tblGrid>
        <w:gridCol w:w="2880"/>
        <w:gridCol w:w="2880"/>
        <w:gridCol w:w="2880"/>
      </w:tblGrid>
      <w:tr>
        <w:trPr>
          <w:tblHeader w:val="true"/>
        </w:trPr>
        <w:tc>
          <w:tcPr>
            <w:tcW w:type="dxa" w:w="2880"/>
            <w:shd w:val="clear" w:color="auto" w:fill="D9D9D9"/>
            <w:vAlign w:val="top"/>
          </w:tcPr>
          <w:p>
            <w:pPr/>
            <w:r>
              <w:rPr>
                <w:b/>
                <w:sz w:val="20"/>
              </w:rPr>
              <w:t>Item</w:t>
            </w:r>
          </w:p>
        </w:tc>
        <w:tc>
          <w:tcPr>
            <w:tcW w:type="dxa" w:w="2880"/>
            <w:shd w:val="clear" w:color="auto" w:fill="D9D9D9"/>
            <w:vAlign w:val="top"/>
          </w:tcPr>
          <w:p>
            <w:pPr/>
            <w:r>
              <w:rPr>
                <w:b/>
                <w:sz w:val="20"/>
              </w:rPr>
              <w:t>Basis</w:t>
            </w:r>
          </w:p>
        </w:tc>
        <w:tc>
          <w:tcPr>
            <w:tcW w:type="dxa" w:w="2880"/>
            <w:shd w:val="clear" w:color="auto" w:fill="D9D9D9"/>
            <w:vAlign w:val="top"/>
          </w:tcPr>
          <w:p>
            <w:pPr/>
            <w:r>
              <w:rPr>
                <w:b/>
                <w:sz w:val="20"/>
              </w:rPr>
              <w:t>Price</w:t>
            </w:r>
          </w:p>
        </w:tc>
      </w:tr>
      <w:tr>
        <w:tc>
          <w:tcPr>
            <w:tcW w:type="dxa" w:w="2880"/>
            <w:vAlign w:val="top"/>
          </w:tcPr>
          <w:p>
            <w:pPr/>
            <w:r>
              <w:rPr>
                <w:sz w:val="20"/>
              </w:rPr>
              <w:t>Phase 1-5 Implementation Services</w:t>
            </w:r>
          </w:p>
        </w:tc>
        <w:tc>
          <w:tcPr>
            <w:tcW w:type="dxa" w:w="2880"/>
            <w:vAlign w:val="top"/>
          </w:tcPr>
          <w:p>
            <w:pPr/>
            <w:r>
              <w:rPr>
                <w:sz w:val="20"/>
              </w:rPr>
            </w:r>
            <w:r>
              <w:rPr>
                <w:sz w:val="20"/>
              </w:rPr>
              <w:t>• One-time</w:t>
            </w:r>
          </w:p>
        </w:tc>
        <w:tc>
          <w:tcPr>
            <w:tcW w:type="dxa" w:w="2880"/>
            <w:vAlign w:val="top"/>
          </w:tcPr>
          <w:p>
            <w:pPr/>
            <w:r>
              <w:rPr>
                <w:sz w:val="20"/>
              </w:rPr>
              <w:t>TBD</w:t>
            </w:r>
          </w:p>
        </w:tc>
      </w:tr>
      <w:tr>
        <w:tc>
          <w:tcPr>
            <w:tcW w:type="dxa" w:w="2880"/>
            <w:vAlign w:val="top"/>
          </w:tcPr>
          <w:p>
            <w:pPr/>
            <w:r>
              <w:rPr>
                <w:sz w:val="20"/>
              </w:rPr>
              <w:t>Platform Managed Service &amp; Support</w:t>
            </w:r>
          </w:p>
        </w:tc>
        <w:tc>
          <w:tcPr>
            <w:tcW w:type="dxa" w:w="2880"/>
            <w:vAlign w:val="top"/>
          </w:tcPr>
          <w:p>
            <w:pPr/>
            <w:r>
              <w:rPr>
                <w:sz w:val="20"/>
              </w:rPr>
            </w:r>
            <w:r>
              <w:rPr>
                <w:sz w:val="20"/>
              </w:rPr>
              <w:t>• Monthly</w:t>
            </w:r>
          </w:p>
        </w:tc>
        <w:tc>
          <w:tcPr>
            <w:tcW w:type="dxa" w:w="2880"/>
            <w:vAlign w:val="top"/>
          </w:tcPr>
          <w:p>
            <w:pPr/>
            <w:r>
              <w:rPr>
                <w:sz w:val="20"/>
              </w:rPr>
              <w:t>TBD</w:t>
            </w:r>
          </w:p>
        </w:tc>
      </w:tr>
      <w:tr>
        <w:tc>
          <w:tcPr>
            <w:tcW w:type="dxa" w:w="2880"/>
            <w:vAlign w:val="top"/>
          </w:tcPr>
          <w:p>
            <w:pPr/>
            <w:r>
              <w:rPr>
                <w:sz w:val="20"/>
              </w:rPr>
              <w:t>Document Processing Fee (Tiered)</w:t>
            </w:r>
          </w:p>
        </w:tc>
        <w:tc>
          <w:tcPr>
            <w:tcW w:type="dxa" w:w="2880"/>
            <w:vAlign w:val="top"/>
          </w:tcPr>
          <w:p>
            <w:pPr/>
            <w:r>
              <w:rPr>
                <w:sz w:val="20"/>
              </w:rPr>
            </w:r>
            <w:r>
              <w:rPr>
                <w:sz w:val="20"/>
              </w:rPr>
              <w:t>• Per Document</w:t>
            </w:r>
          </w:p>
        </w:tc>
        <w:tc>
          <w:tcPr>
            <w:tcW w:type="dxa" w:w="2880"/>
            <w:vAlign w:val="top"/>
          </w:tcPr>
          <w:p>
            <w:pPr/>
            <w:r>
              <w:rPr>
                <w:sz w:val="20"/>
              </w:rPr>
              <w:t>TBD</w:t>
            </w:r>
          </w:p>
        </w:tc>
      </w:tr>
      <w:tr>
        <w:tc>
          <w:tcPr>
            <w:tcW w:type="dxa" w:w="2880"/>
            <w:vAlign w:val="top"/>
          </w:tcPr>
          <w:p>
            <w:pPr/>
            <w:r>
              <w:rPr>
                <w:sz w:val="20"/>
              </w:rPr>
              <w:t>Ad-hoc Model Retraining &amp; Scaling (Rate Card)</w:t>
            </w:r>
          </w:p>
        </w:tc>
        <w:tc>
          <w:tcPr>
            <w:tcW w:type="dxa" w:w="2880"/>
            <w:vAlign w:val="top"/>
          </w:tcPr>
          <w:p>
            <w:pPr/>
            <w:r>
              <w:rPr>
                <w:sz w:val="20"/>
              </w:rPr>
            </w:r>
            <w:r>
              <w:rPr>
                <w:sz w:val="20"/>
              </w:rPr>
              <w:t>• Hourly</w:t>
            </w:r>
          </w:p>
        </w:tc>
        <w:tc>
          <w:tcPr>
            <w:tcW w:type="dxa" w:w="2880"/>
            <w:vAlign w:val="top"/>
          </w:tcPr>
          <w:p>
            <w:pPr/>
            <w:r>
              <w:rPr>
                <w:sz w:val="20"/>
              </w:rPr>
              <w:t>TBD</w:t>
            </w:r>
          </w:p>
        </w:tc>
      </w:tr>
    </w:tbl>
    <w:p/>
    <w:p>
      <w:pPr>
        <w:pStyle w:val="Heading2"/>
      </w:pPr>
      <w:r>
        <w:t>11.2 Ongoing Managed Support &amp; Operational Expenses</w:t>
      </w:r>
    </w:p>
    <w:p>
      <w:r>
        <w:t>Ongoing costs will include a monthly platform support fee and a tiered usage-based model for document processing. This ensures that Apex only pays for the volume of documents actually processed while maintaining access to continuous model improvements and drift monitoring services.</w:t>
      </w:r>
    </w:p>
    <w:p>
      <w:pPr>
        <w:pStyle w:val="Heading2"/>
      </w:pPr>
      <w:r>
        <w:t>11.3 Rate Cards &amp; Change Control Mechanics</w:t>
      </w:r>
    </w:p>
    <w:p>
      <w:r>
        <w:t>All changes to the project scope or technical requirements will be managed through a formal Change Request (CR) process. Any additional work outside the initial scope will be billed according to the provided rate card for professional services, ensuring transparency and cost control.</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2E75B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egoe UI" w:hAnsi="Segoe UI"/>
      <w:b/>
      <w:color w:val="243F60" w:themeColor="accent1" w:themeShade="7F"/>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