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Artist / Label Services Agreement</w:t>
      </w:r>
    </w:p>
    <w:p>
      <w:pPr>
        <w:spacing w:after="280"/>
      </w:pPr>
      <w:r>
        <w:rPr>
          <w:rFonts w:ascii="Calibri" w:hAnsi="Calibri"/>
          <w:b w:val="0"/>
          <w:i w:val="0"/>
          <w:color w:val="5F6B7A"/>
          <w:sz w:val="25"/>
        </w:rPr>
        <w:t>Modular agreement for independent label services, distribution support, rights administration and release operations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TT-ALS-01</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The Artist controls or is authorised to administer the recordings, compositions and Artist Materials identified in the completed schedules and wishes to remain independent except for the limited rights expressly granted here.</w:t>
      </w:r>
    </w:p>
    <w:p>
      <w:pPr>
        <w:keepLines/>
      </w:pPr>
      <w:r>
        <w:rPr>
          <w:rFonts w:ascii="Calibri" w:hAnsi="Calibri"/>
          <w:b w:val="0"/>
          <w:i w:val="0"/>
          <w:color w:val="000000"/>
          <w:sz w:val="22"/>
        </w:rPr>
        <w:t>The Label provides selected music-business services, which may include release planning, distribution coordination, catalogue administration, registrations, monetisation, marketing support, analytics and related project operations.</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Approved Costs. </w:t>
      </w:r>
      <w:r>
        <w:rPr>
          <w:rFonts w:ascii="Calibri" w:hAnsi="Calibri"/>
          <w:b w:val="0"/>
          <w:i w:val="0"/>
          <w:color w:val="000000"/>
          <w:sz w:val="22"/>
        </w:rPr>
        <w:t>third-party, out-of-pocket costs that are included in the approved budget or separately approved in writing and designated as recoupable in Schedule 2.</w:t>
      </w:r>
    </w:p>
    <w:p>
      <w:pPr>
        <w:keepLines/>
        <w:ind w:left="259" w:hanging="259"/>
      </w:pPr>
      <w:r>
        <w:rPr>
          <w:rFonts w:ascii="Calibri" w:hAnsi="Calibri"/>
          <w:b/>
          <w:i w:val="0"/>
          <w:color w:val="000000"/>
          <w:sz w:val="22"/>
        </w:rPr>
        <w:t xml:space="preserve">Catalogue. </w:t>
      </w:r>
      <w:r>
        <w:rPr>
          <w:rFonts w:ascii="Calibri" w:hAnsi="Calibri"/>
          <w:b w:val="0"/>
          <w:i w:val="0"/>
          <w:color w:val="000000"/>
          <w:sz w:val="22"/>
        </w:rPr>
        <w:t>the recordings and, only where publishing administration is selected, musical works identified in Schedule 1 or later added by a signed catalogue addendum.</w:t>
      </w:r>
    </w:p>
    <w:p>
      <w:pPr>
        <w:keepLines/>
        <w:ind w:left="259" w:hanging="259"/>
      </w:pPr>
      <w:r>
        <w:rPr>
          <w:rFonts w:ascii="Calibri" w:hAnsi="Calibri"/>
          <w:b/>
          <w:i w:val="0"/>
          <w:color w:val="000000"/>
          <w:sz w:val="22"/>
        </w:rPr>
        <w:t xml:space="preserve">Services. </w:t>
      </w:r>
      <w:r>
        <w:rPr>
          <w:rFonts w:ascii="Calibri" w:hAnsi="Calibri"/>
          <w:b w:val="0"/>
          <w:i w:val="0"/>
          <w:color w:val="000000"/>
          <w:sz w:val="22"/>
        </w:rPr>
        <w:t>the services selected in Schedule 1 and no others.</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Appointment and scope</w:t>
      </w:r>
    </w:p>
    <w:p>
      <w:pPr>
        <w:keepLines/>
      </w:pPr>
      <w:r>
        <w:rPr>
          <w:rFonts w:ascii="Calibri" w:hAnsi="Calibri"/>
          <w:b w:val="0"/>
          <w:i w:val="0"/>
          <w:color w:val="000000"/>
          <w:sz w:val="22"/>
        </w:rPr>
        <w:t xml:space="preserve">The Artist appoints the Label to perform the Services during the Term in the Territory on a </w:t>
      </w:r>
      <w:r>
        <w:rPr>
          <w:rFonts w:ascii="Calibri" w:hAnsi="Calibri"/>
          <w:b/>
          <w:i w:val="0"/>
          <w:color w:val="6B4E00"/>
          <w:sz w:val="19"/>
          <w:shd w:fill="FFF4CC"/>
        </w:rPr>
        <w:t>{{SERVICE_APPOINTMENT_TYPE}}</w:t>
      </w:r>
      <w:r>
        <w:rPr>
          <w:rFonts w:ascii="Calibri" w:hAnsi="Calibri"/>
          <w:b w:val="0"/>
          <w:i w:val="0"/>
          <w:color w:val="000000"/>
          <w:sz w:val="22"/>
        </w:rPr>
        <w:t xml:space="preserve"> basis and only for the Catalogue and projects identified in Schedule 1. Any additional release, work, territory, service or budget requires a signed addendum or written change order.</w:t>
      </w:r>
    </w:p>
    <w:p>
      <w:pPr>
        <w:keepLines/>
      </w:pPr>
      <w:r>
        <w:rPr>
          <w:rFonts w:ascii="Calibri" w:hAnsi="Calibri"/>
          <w:b w:val="0"/>
          <w:i w:val="0"/>
          <w:color w:val="000000"/>
          <w:sz w:val="22"/>
        </w:rPr>
        <w:t>The Label may use reputable distributors, digital service providers, collection agents and specialist subcontractors where reasonably necessary. The Label shall remain responsible for its own obligations and shall not grant a subcontractor rights broader than those granted to the Label.</w:t>
      </w:r>
    </w:p>
    <w:p>
      <w:pPr>
        <w:pStyle w:val="Heading1"/>
      </w:pPr>
      <w:r>
        <w:rPr>
          <w:rFonts w:ascii="Calibri" w:hAnsi="Calibri"/>
          <w:b/>
          <w:i w:val="0"/>
          <w:color w:val="2E74B5"/>
          <w:sz w:val="32"/>
        </w:rPr>
        <w:t>3. Label obligations</w:t>
      </w:r>
    </w:p>
    <w:p>
      <w:pPr>
        <w:keepLines/>
      </w:pPr>
      <w:r>
        <w:rPr>
          <w:rFonts w:ascii="Calibri" w:hAnsi="Calibri"/>
          <w:b w:val="0"/>
          <w:i w:val="0"/>
          <w:color w:val="000000"/>
          <w:sz w:val="22"/>
        </w:rPr>
        <w:t>The Label shall perform the selected Services with reasonable care and skill, maintain accurate project records in the Operations Hub and Finance App or successor system, use commercially reasonable efforts to meet approved timelines, communicate material delays, and provide the reports selected in Schedule 1.</w:t>
      </w:r>
    </w:p>
    <w:p>
      <w:pPr>
        <w:keepLines/>
      </w:pPr>
      <w:r>
        <w:rPr>
          <w:rFonts w:ascii="Calibri" w:hAnsi="Calibri"/>
          <w:b w:val="0"/>
          <w:i w:val="0"/>
          <w:color w:val="000000"/>
          <w:sz w:val="22"/>
        </w:rPr>
        <w:t>The Label does not guarantee playlist placement, airplay, virality, chart position, sales, streams, licensing, awards or any minimum income. Any forecast is an estimate and not a promise.</w:t>
      </w:r>
    </w:p>
    <w:p>
      <w:pPr>
        <w:pStyle w:val="Heading1"/>
      </w:pPr>
      <w:r>
        <w:rPr>
          <w:rFonts w:ascii="Calibri" w:hAnsi="Calibri"/>
          <w:b/>
          <w:i w:val="0"/>
          <w:color w:val="2E74B5"/>
          <w:sz w:val="32"/>
        </w:rPr>
        <w:t>4. Artist obligations and approvals</w:t>
      </w:r>
    </w:p>
    <w:p>
      <w:pPr>
        <w:keepLines/>
      </w:pPr>
      <w:r>
        <w:rPr>
          <w:rFonts w:ascii="Calibri" w:hAnsi="Calibri"/>
          <w:b w:val="0"/>
          <w:i w:val="0"/>
          <w:color w:val="000000"/>
          <w:sz w:val="22"/>
        </w:rPr>
        <w:t>The Artist shall timely supply complete masters, artwork, metadata, credits, lyrics, contributor splits, identification codes, tax and payment information, platform access reasonably needed for the Services, and evidence of clearances. The Artist remains responsible for the accuracy and legality of supplied information.</w:t>
      </w:r>
    </w:p>
    <w:p>
      <w:pPr>
        <w:keepLines/>
      </w:pPr>
      <w:r>
        <w:rPr>
          <w:rFonts w:ascii="Calibri" w:hAnsi="Calibri"/>
          <w:b w:val="0"/>
          <w:i w:val="0"/>
          <w:color w:val="000000"/>
          <w:sz w:val="22"/>
        </w:rPr>
        <w:t xml:space="preserve">Approval requests shall be sent to </w:t>
      </w:r>
      <w:r>
        <w:rPr>
          <w:rFonts w:ascii="Calibri" w:hAnsi="Calibri"/>
          <w:b/>
          <w:i w:val="0"/>
          <w:color w:val="6B4E00"/>
          <w:sz w:val="19"/>
          <w:shd w:fill="FFF4CC"/>
        </w:rPr>
        <w:t>{{ARTIST_APPROVAL_EMAIL}}</w:t>
      </w:r>
      <w:r>
        <w:rPr>
          <w:rFonts w:ascii="Calibri" w:hAnsi="Calibri"/>
          <w:b w:val="0"/>
          <w:i w:val="0"/>
          <w:color w:val="000000"/>
          <w:sz w:val="22"/>
        </w:rPr>
        <w:t xml:space="preserve">. The Artist shall respond within </w:t>
      </w:r>
      <w:r>
        <w:rPr>
          <w:rFonts w:ascii="Calibri" w:hAnsi="Calibri"/>
          <w:b/>
          <w:i w:val="0"/>
          <w:color w:val="6B4E00"/>
          <w:sz w:val="19"/>
          <w:shd w:fill="FFF4CC"/>
        </w:rPr>
        <w:t>{{APPROVAL_RESPONSE_DAYS}}</w:t>
      </w:r>
      <w:r>
        <w:rPr>
          <w:rFonts w:ascii="Calibri" w:hAnsi="Calibri"/>
          <w:b w:val="0"/>
          <w:i w:val="0"/>
          <w:color w:val="000000"/>
          <w:sz w:val="22"/>
        </w:rPr>
        <w:t xml:space="preserve"> Business Days. Silence is not approval for a matter listed as requiring express approval in Schedule 1. Delays caused by late materials or approvals extend affected deadlines reasonably.</w:t>
      </w:r>
    </w:p>
    <w:p>
      <w:pPr>
        <w:pStyle w:val="Heading1"/>
      </w:pPr>
      <w:r>
        <w:rPr>
          <w:rFonts w:ascii="Calibri" w:hAnsi="Calibri"/>
          <w:b/>
          <w:i w:val="0"/>
          <w:color w:val="2E74B5"/>
          <w:sz w:val="32"/>
        </w:rPr>
        <w:t>5. Rights granted and rights reserved</w:t>
      </w:r>
    </w:p>
    <w:p>
      <w:pPr>
        <w:keepLines/>
      </w:pPr>
      <w:r>
        <w:rPr>
          <w:rFonts w:ascii="Calibri" w:hAnsi="Calibri"/>
          <w:b w:val="0"/>
          <w:i w:val="0"/>
          <w:color w:val="000000"/>
          <w:sz w:val="22"/>
        </w:rPr>
        <w:t xml:space="preserve">The Artist grants the Label, during the Term and in the Territory, the </w:t>
      </w:r>
      <w:r>
        <w:rPr>
          <w:rFonts w:ascii="Calibri" w:hAnsi="Calibri"/>
          <w:b/>
          <w:i w:val="0"/>
          <w:color w:val="6B4E00"/>
          <w:sz w:val="19"/>
          <w:shd w:fill="FFF4CC"/>
        </w:rPr>
        <w:t>{{SERVICE_LICENCE_TYPE}}</w:t>
      </w:r>
      <w:r>
        <w:rPr>
          <w:rFonts w:ascii="Calibri" w:hAnsi="Calibri"/>
          <w:b w:val="0"/>
          <w:i w:val="0"/>
          <w:color w:val="000000"/>
          <w:sz w:val="22"/>
        </w:rPr>
        <w:t xml:space="preserve"> right to reproduce, encode, deliver, distribute, make available, communicate to the public, promote and otherwise use the Catalogue solely to perform the selected Services. The Label may use Artist Materials solely to identify, market and administer the authorised Catalogue and Services.</w:t>
      </w:r>
    </w:p>
    <w:p>
      <w:pPr>
        <w:keepLines/>
      </w:pPr>
      <w:r>
        <w:rPr>
          <w:rFonts w:ascii="Calibri" w:hAnsi="Calibri"/>
          <w:b w:val="0"/>
          <w:i w:val="0"/>
          <w:color w:val="000000"/>
          <w:sz w:val="22"/>
        </w:rPr>
        <w:t>The grant includes only the specific rights selected in Schedule 1. Copyright, neighbouring rights, moral rights, trade marks, name and likeness rights and all other rights remain with the Artist or their owners except to the limited extent expressly licensed. Publishing rights are excluded unless a separate Publishing Administration Agreement or express Schedule 1 selection is signed.</w:t>
      </w:r>
    </w:p>
    <w:p>
      <w:pPr>
        <w:keepLines/>
      </w:pPr>
      <w:r>
        <w:rPr>
          <w:rFonts w:ascii="Calibri" w:hAnsi="Calibri"/>
          <w:b w:val="0"/>
          <w:i w:val="0"/>
          <w:color w:val="000000"/>
          <w:sz w:val="22"/>
        </w:rPr>
        <w:t>The Artist retains moral rights. The Artist consents to ordinary technical formatting, encoding, excerpting, resizing and platform-required edits that do not materially distort the work or prejudice the Artist's honour or reputation. Any broader moral-rights waiver or material edit must be separately written, specific and signed.</w:t>
      </w:r>
    </w:p>
    <w:p>
      <w:pPr>
        <w:pStyle w:val="Heading1"/>
      </w:pPr>
      <w:r>
        <w:rPr>
          <w:rFonts w:ascii="Calibri" w:hAnsi="Calibri"/>
          <w:b/>
          <w:i w:val="0"/>
          <w:color w:val="2E74B5"/>
          <w:sz w:val="32"/>
        </w:rPr>
        <w:t>6. Fees, revenue and approved costs</w:t>
      </w:r>
    </w:p>
    <w:p>
      <w:pPr>
        <w:keepLines/>
      </w:pPr>
      <w:r>
        <w:rPr>
          <w:rFonts w:ascii="Calibri" w:hAnsi="Calibri"/>
          <w:b w:val="0"/>
          <w:i w:val="0"/>
          <w:color w:val="000000"/>
          <w:sz w:val="22"/>
        </w:rPr>
        <w:t xml:space="preserve">In consideration for the Services, the Artist shall pay the Label </w:t>
      </w:r>
      <w:r>
        <w:rPr>
          <w:rFonts w:ascii="Calibri" w:hAnsi="Calibri"/>
          <w:b/>
          <w:i w:val="0"/>
          <w:color w:val="6B4E00"/>
          <w:sz w:val="19"/>
          <w:shd w:fill="FFF4CC"/>
        </w:rPr>
        <w:t>{{SERVICE_FEE_DESCRIPTION}}</w:t>
      </w:r>
      <w:r>
        <w:rPr>
          <w:rFonts w:ascii="Calibri" w:hAnsi="Calibri"/>
          <w:b w:val="0"/>
          <w:i w:val="0"/>
          <w:color w:val="000000"/>
          <w:sz w:val="22"/>
        </w:rPr>
        <w:t>. Revenue collected by the Label shall be applied through the waterfall in Schedule 2. No cost is deductible or recoupable unless the agreement or approved budget expressly allows it.</w:t>
      </w:r>
    </w:p>
    <w:p>
      <w:pPr>
        <w:keepLines/>
      </w:pPr>
      <w:r>
        <w:rPr>
          <w:rFonts w:ascii="Calibri" w:hAnsi="Calibri"/>
          <w:b w:val="0"/>
          <w:i w:val="0"/>
          <w:color w:val="000000"/>
          <w:sz w:val="22"/>
        </w:rPr>
        <w:t xml:space="preserve">The Label shall not split, inflate or reclassify costs to avoid an approval threshold. An individual unbudgeted expense above </w:t>
      </w:r>
      <w:r>
        <w:rPr>
          <w:rFonts w:ascii="Calibri" w:hAnsi="Calibri"/>
          <w:b/>
          <w:i w:val="0"/>
          <w:color w:val="6B4E00"/>
          <w:sz w:val="19"/>
          <w:shd w:fill="FFF4CC"/>
        </w:rPr>
        <w:t>{{UNBUDGETED_EXPENSE_CAP}}</w:t>
      </w:r>
      <w:r>
        <w:rPr>
          <w:rFonts w:ascii="Calibri" w:hAnsi="Calibri"/>
          <w:b w:val="0"/>
          <w:i w:val="0"/>
          <w:color w:val="000000"/>
          <w:sz w:val="22"/>
        </w:rPr>
        <w:t xml:space="preserve"> requires the Artist's prior written approval. Related expenses for the same purchase or campaign are aggregated for this purpose.</w:t>
      </w:r>
    </w:p>
    <w:p>
      <w:pPr>
        <w:pStyle w:val="Heading1"/>
      </w:pPr>
      <w:r>
        <w:rPr>
          <w:rFonts w:ascii="Calibri" w:hAnsi="Calibri"/>
          <w:b/>
          <w:i w:val="0"/>
          <w:color w:val="2E74B5"/>
          <w:sz w:val="32"/>
        </w:rPr>
        <w:t>7. Platform accounts, metadata and takedowns</w:t>
      </w:r>
    </w:p>
    <w:p>
      <w:pPr>
        <w:keepLines/>
      </w:pPr>
      <w:r>
        <w:rPr>
          <w:rFonts w:ascii="Calibri" w:hAnsi="Calibri"/>
          <w:b w:val="0"/>
          <w:i w:val="0"/>
          <w:color w:val="000000"/>
          <w:sz w:val="22"/>
        </w:rPr>
        <w:t xml:space="preserve">Ownership of artist-facing platform accounts is </w:t>
      </w:r>
      <w:r>
        <w:rPr>
          <w:rFonts w:ascii="Calibri" w:hAnsi="Calibri"/>
          <w:b/>
          <w:i w:val="0"/>
          <w:color w:val="6B4E00"/>
          <w:sz w:val="19"/>
          <w:shd w:fill="FFF4CC"/>
        </w:rPr>
        <w:t>{{PLATFORM_ACCOUNT_OWNERSHIP}}</w:t>
      </w:r>
      <w:r>
        <w:rPr>
          <w:rFonts w:ascii="Calibri" w:hAnsi="Calibri"/>
          <w:b w:val="0"/>
          <w:i w:val="0"/>
          <w:color w:val="000000"/>
          <w:sz w:val="22"/>
        </w:rPr>
        <w:t>. The Label shall not change primary ownership, recovery information or payout instructions without written authority. Each party shall use multi-factor authentication where available and shall not share credentials beyond authorised personnel.</w:t>
      </w:r>
    </w:p>
    <w:p>
      <w:pPr>
        <w:keepLines/>
      </w:pPr>
      <w:r>
        <w:rPr>
          <w:rFonts w:ascii="Calibri" w:hAnsi="Calibri"/>
          <w:b w:val="0"/>
          <w:i w:val="0"/>
          <w:color w:val="000000"/>
          <w:sz w:val="22"/>
        </w:rPr>
        <w:t>The Label may assign or request ISRCs, UPCs and other identifiers if selected. Identifiers and approved metadata shall remain associated with the relevant release where reasonably practicable. Takedown requests are subject to third-party processing times, existing licences, dispute holds and the wind-down terms in Schedule 1.</w:t>
      </w:r>
    </w:p>
    <w:p>
      <w:pPr>
        <w:pStyle w:val="Heading1"/>
      </w:pPr>
      <w:r>
        <w:rPr>
          <w:rFonts w:ascii="Calibri" w:hAnsi="Calibri"/>
          <w:b/>
          <w:i w:val="0"/>
          <w:color w:val="2E74B5"/>
          <w:sz w:val="32"/>
        </w:rPr>
        <w:t>8. Conflicts and collection-society mandates</w:t>
      </w:r>
    </w:p>
    <w:p>
      <w:pPr>
        <w:keepLines/>
      </w:pPr>
      <w:r>
        <w:rPr>
          <w:rFonts w:ascii="Calibri" w:hAnsi="Calibri"/>
          <w:b w:val="0"/>
          <w:i w:val="0"/>
          <w:color w:val="000000"/>
          <w:sz w:val="22"/>
        </w:rPr>
        <w:t>The Artist shall disclose existing recording, distribution, publishing, management, producer, CMO and neighbouring-rights mandates that could affect the Services. The Label shall not knowingly interfere with a disclosed mandate. Where a CMO or other organisation has exclusive authority, this Agreement operates subject to that authority unless it is lawfully varied or terminated.</w:t>
      </w:r>
    </w:p>
    <w:p>
      <w:pPr>
        <w:pStyle w:val="Heading1"/>
      </w:pPr>
      <w:r>
        <w:rPr>
          <w:rFonts w:ascii="Calibri" w:hAnsi="Calibri"/>
          <w:b/>
          <w:i w:val="0"/>
          <w:color w:val="2E74B5"/>
          <w:sz w:val="32"/>
        </w:rPr>
        <w:t>9. Statements, records and audit</w:t>
      </w:r>
    </w:p>
    <w:p>
      <w:pPr>
        <w:keepLines/>
      </w:pPr>
      <w:r>
        <w:rPr>
          <w:rFonts w:ascii="Calibri" w:hAnsi="Calibri"/>
          <w:b w:val="0"/>
          <w:i w:val="0"/>
          <w:color w:val="000000"/>
          <w:sz w:val="22"/>
        </w:rPr>
        <w:t>The Label shall provide statements {STATEMENT_FREQUENCY} and pay undisputed sums within {PAYMENT_DAYS} Business Days after the statement date, subject to the minimum payout threshold of {MINIMUM_PAYOUT}. Amounts below the threshold carry forward without forfeiture.</w:t>
      </w:r>
    </w:p>
    <w:p>
      <w:pPr>
        <w:keepLines/>
      </w:pPr>
      <w:r>
        <w:rPr>
          <w:rFonts w:ascii="Calibri" w:hAnsi="Calibri"/>
          <w:b w:val="0"/>
          <w:i w:val="0"/>
          <w:color w:val="000000"/>
          <w:sz w:val="22"/>
        </w:rPr>
        <w:t>Each party shall keep complete records relevant to money payable under this Agreement for at least six years after the relevant statement. Once in any twelve-month period, the Artist may appoint an independent accountant, bound by confidentiality, to inspect relevant records on at least fifteen Business Days' notice. The audit shall occur during normal business hours, at the Artist's cost, unless an underpayment exceeding five per cent is found, in which case the reasonable audit cost shall be reimbursed by the Label.</w:t>
      </w:r>
    </w:p>
    <w:p>
      <w:pPr>
        <w:pStyle w:val="Heading1"/>
      </w:pPr>
      <w:r>
        <w:rPr>
          <w:rFonts w:ascii="Calibri" w:hAnsi="Calibri"/>
          <w:b/>
          <w:i w:val="0"/>
          <w:color w:val="2E74B5"/>
          <w:sz w:val="32"/>
        </w:rPr>
        <w:t>10. Taxes</w:t>
      </w:r>
    </w:p>
    <w:p>
      <w:pPr>
        <w:keepLines/>
      </w:pPr>
      <w:r>
        <w:rPr>
          <w:rFonts w:ascii="Calibri" w:hAnsi="Calibri"/>
          <w:b w:val="0"/>
          <w:i w:val="0"/>
          <w:color w:val="000000"/>
          <w:sz w:val="22"/>
        </w:rPr>
        <w:t xml:space="preserve">Amounts stated are </w:t>
      </w:r>
      <w:r>
        <w:rPr>
          <w:rFonts w:ascii="Calibri" w:hAnsi="Calibri"/>
          <w:b/>
          <w:i w:val="0"/>
          <w:color w:val="6B4E00"/>
          <w:sz w:val="19"/>
          <w:shd w:fill="FFF4CC"/>
        </w:rPr>
        <w:t>{{VAT_TREATMENT}}</w:t>
      </w:r>
      <w:r>
        <w:rPr>
          <w:rFonts w:ascii="Calibri" w:hAnsi="Calibri"/>
          <w:b w:val="0"/>
          <w:i w:val="0"/>
          <w:color w:val="000000"/>
          <w:sz w:val="22"/>
        </w:rPr>
        <w:t>. Each party is responsible for its own taxes and statutory obligations. A payer may make a deduction required by Trinidad and Tobago law, but shall provide the payee with the available certificate or evidence of the deduction. No party shall represent that it gives tax advice.</w:t>
      </w:r>
    </w:p>
    <w:p>
      <w:pPr>
        <w:pStyle w:val="Heading1"/>
      </w:pPr>
      <w:r>
        <w:rPr>
          <w:rFonts w:ascii="Calibri" w:hAnsi="Calibri"/>
          <w:b/>
          <w:i w:val="0"/>
          <w:color w:val="2E74B5"/>
          <w:sz w:val="32"/>
        </w:rPr>
        <w:t>11. Confidentiality, privacy and security</w:t>
      </w:r>
    </w:p>
    <w:p>
      <w:pPr>
        <w:keepLines/>
      </w:pPr>
      <w:r>
        <w:rPr>
          <w:rFonts w:ascii="Calibri" w:hAnsi="Calibri"/>
          <w:b w:val="0"/>
          <w:i w:val="0"/>
          <w:color w:val="000000"/>
          <w:sz w:val="22"/>
        </w:rPr>
        <w:t>Each party shall keep confidential non-public business, creative, contractual, financial, account, login and personal information received from the other and use it only to perform this Agreement. Disclosure is permitted to professional advisers, distributors, platforms, collection societies, subcontractors and authorities only where reasonably necessary and subject to appropriate confidentiality duties or law.</w:t>
      </w:r>
    </w:p>
    <w:p>
      <w:pPr>
        <w:keepLines/>
      </w:pPr>
      <w:r>
        <w:rPr>
          <w:rFonts w:ascii="Calibri" w:hAnsi="Calibri"/>
          <w:b w:val="0"/>
          <w:i w:val="0"/>
          <w:color w:val="000000"/>
          <w:sz w:val="22"/>
        </w:rPr>
        <w:t>Each party shall use reasonable administrative, technical and physical safeguards for personal information and comply with applicable provisions of the Data Protection Act, Chap. 22:04, and other applicable privacy obligations. A party becoming aware of material unauthorised access affecting the other party's information shall notify the other without unreasonable delay and cooperate in reasonable mitigation.</w:t>
      </w:r>
    </w:p>
    <w:p>
      <w:pPr>
        <w:pStyle w:val="Heading1"/>
      </w:pPr>
      <w:r>
        <w:rPr>
          <w:rFonts w:ascii="Calibri" w:hAnsi="Calibri"/>
          <w:b/>
          <w:i w:val="0"/>
          <w:color w:val="2E74B5"/>
          <w:sz w:val="32"/>
        </w:rPr>
        <w:t>12. Representations and warranties</w:t>
      </w:r>
    </w:p>
    <w:p>
      <w:pPr>
        <w:keepLines/>
      </w:pPr>
      <w:r>
        <w:rPr>
          <w:rFonts w:ascii="Calibri" w:hAnsi="Calibri"/>
          <w:b w:val="0"/>
          <w:i w:val="0"/>
          <w:color w:val="000000"/>
          <w:sz w:val="22"/>
        </w:rPr>
        <w:t>Each party represents that it has legal capacity and authority to enter into and perform this Agreement, and that doing so does not knowingly breach another binding agreement. The Artist represents that Artist-controlled materials supplied under this Agreement are original or properly cleared and that all contributor, producer, featured-artist, sample, artwork and other permissions for which the Artist is responsible have been obtained in writing.</w:t>
      </w:r>
    </w:p>
    <w:p>
      <w:pPr>
        <w:keepLines/>
      </w:pPr>
      <w:r>
        <w:rPr>
          <w:rFonts w:ascii="Calibri" w:hAnsi="Calibri"/>
          <w:b w:val="0"/>
          <w:i w:val="0"/>
          <w:color w:val="000000"/>
          <w:sz w:val="22"/>
        </w:rPr>
        <w:t>The Label represents that it will perform its services with reasonable care and skill, will not knowingly exploit rights outside the agreed grant, and will not knowingly enter into a material licence of the Artist's rights where the completed schedules require the Artist's prior written approval.</w:t>
      </w:r>
    </w:p>
    <w:p>
      <w:pPr>
        <w:pStyle w:val="Heading1"/>
      </w:pPr>
      <w:r>
        <w:rPr>
          <w:rFonts w:ascii="Calibri" w:hAnsi="Calibri"/>
          <w:b/>
          <w:i w:val="0"/>
          <w:color w:val="2E74B5"/>
          <w:sz w:val="32"/>
        </w:rPr>
        <w:t>13. Indemnity and liability</w:t>
      </w:r>
    </w:p>
    <w:p>
      <w:pPr>
        <w:keepLines/>
      </w:pPr>
      <w:r>
        <w:rPr>
          <w:rFonts w:ascii="Calibri" w:hAnsi="Calibri"/>
          <w:b w:val="0"/>
          <w:i w:val="0"/>
          <w:color w:val="000000"/>
          <w:sz w:val="22"/>
        </w:rPr>
        <w:t>Each party shall indemnify the other against a finally determined or reasonably settled third-party claim arising directly from the indemnifying party's material breach of its representations, warranties or confidentiality obligations, provided the indemnified party gives prompt notice, reasonable cooperation and control of the defence, and does not settle the claim without consent that is not unreasonably withheld.</w:t>
      </w:r>
    </w:p>
    <w:p>
      <w:pPr>
        <w:keepLines/>
      </w:pPr>
      <w:r>
        <w:rPr>
          <w:rFonts w:ascii="Calibri" w:hAnsi="Calibri"/>
          <w:b w:val="0"/>
          <w:i w:val="0"/>
          <w:color w:val="000000"/>
          <w:sz w:val="22"/>
        </w:rPr>
        <w:t xml:space="preserve">Except for payment obligations, fraud, wilful misconduct, infringement or unauthorised exploitation of intellectual property, breach of confidentiality, or liability that cannot lawfully be limited, neither party is liable to the other for indirect or consequential loss. For all other claims, each party's aggregate liability is limited to </w:t>
      </w:r>
      <w:r>
        <w:rPr>
          <w:rFonts w:ascii="Calibri" w:hAnsi="Calibri"/>
          <w:b/>
          <w:i w:val="0"/>
          <w:color w:val="6B4E00"/>
          <w:sz w:val="19"/>
          <w:shd w:fill="FFF4CC"/>
        </w:rPr>
        <w:t>{{LIABILITY_CAP}}</w:t>
      </w:r>
      <w:r>
        <w:rPr>
          <w:rFonts w:ascii="Calibri" w:hAnsi="Calibri"/>
          <w:b w:val="0"/>
          <w:i w:val="0"/>
          <w:color w:val="000000"/>
          <w:sz w:val="22"/>
        </w:rPr>
        <w:t>, to the extent permitted by law.</w:t>
      </w:r>
    </w:p>
    <w:p>
      <w:pPr>
        <w:pStyle w:val="Heading1"/>
      </w:pPr>
      <w:r>
        <w:rPr>
          <w:rFonts w:ascii="Calibri" w:hAnsi="Calibri"/>
          <w:b/>
          <w:i w:val="0"/>
          <w:color w:val="2E74B5"/>
          <w:sz w:val="32"/>
        </w:rPr>
        <w:t>14. Term, breach and termination</w:t>
      </w:r>
    </w:p>
    <w:p>
      <w:pPr>
        <w:keepLines/>
      </w:pPr>
      <w:r>
        <w:rPr>
          <w:rFonts w:ascii="Calibri" w:hAnsi="Calibri"/>
          <w:b w:val="0"/>
          <w:i w:val="0"/>
          <w:color w:val="000000"/>
          <w:sz w:val="22"/>
        </w:rPr>
        <w:t xml:space="preserve">This Agreement begins on </w:t>
      </w:r>
      <w:r>
        <w:rPr>
          <w:rFonts w:ascii="Calibri" w:hAnsi="Calibri"/>
          <w:b/>
          <w:i w:val="0"/>
          <w:color w:val="6B4E00"/>
          <w:sz w:val="19"/>
          <w:shd w:fill="FFF4CC"/>
        </w:rPr>
        <w:t>{{TERM_START_DATE}}</w:t>
      </w:r>
      <w:r>
        <w:rPr>
          <w:rFonts w:ascii="Calibri" w:hAnsi="Calibri"/>
          <w:b w:val="0"/>
          <w:i w:val="0"/>
          <w:color w:val="000000"/>
          <w:sz w:val="22"/>
        </w:rPr>
        <w:t xml:space="preserve"> and continues for </w:t>
      </w:r>
      <w:r>
        <w:rPr>
          <w:rFonts w:ascii="Calibri" w:hAnsi="Calibri"/>
          <w:b/>
          <w:i w:val="0"/>
          <w:color w:val="6B4E00"/>
          <w:sz w:val="19"/>
          <w:shd w:fill="FFF4CC"/>
        </w:rPr>
        <w:t>{{INITIAL_TERM}}</w:t>
      </w:r>
      <w:r>
        <w:rPr>
          <w:rFonts w:ascii="Calibri" w:hAnsi="Calibri"/>
          <w:b w:val="0"/>
          <w:i w:val="0"/>
          <w:color w:val="000000"/>
          <w:sz w:val="22"/>
        </w:rPr>
        <w:t xml:space="preserve">, subject to </w:t>
      </w:r>
      <w:r>
        <w:rPr>
          <w:rFonts w:ascii="Calibri" w:hAnsi="Calibri"/>
          <w:b/>
          <w:i w:val="0"/>
          <w:color w:val="6B4E00"/>
          <w:sz w:val="19"/>
          <w:shd w:fill="FFF4CC"/>
        </w:rPr>
        <w:t>{{RENEWAL_TERMS}}</w:t>
      </w:r>
      <w:r>
        <w:rPr>
          <w:rFonts w:ascii="Calibri" w:hAnsi="Calibri"/>
          <w:b w:val="0"/>
          <w:i w:val="0"/>
          <w:color w:val="000000"/>
          <w:sz w:val="22"/>
        </w:rPr>
        <w:t xml:space="preserve">. A party may terminate for a material breach not cured within </w:t>
      </w:r>
      <w:r>
        <w:rPr>
          <w:rFonts w:ascii="Calibri" w:hAnsi="Calibri"/>
          <w:b/>
          <w:i w:val="0"/>
          <w:color w:val="6B4E00"/>
          <w:sz w:val="19"/>
          <w:shd w:fill="FFF4CC"/>
        </w:rPr>
        <w:t>{{CURE_PERIOD_DAYS}}</w:t>
      </w:r>
      <w:r>
        <w:rPr>
          <w:rFonts w:ascii="Calibri" w:hAnsi="Calibri"/>
          <w:b w:val="0"/>
          <w:i w:val="0"/>
          <w:color w:val="000000"/>
          <w:sz w:val="22"/>
        </w:rPr>
        <w:t xml:space="preserve"> days after detailed written notice. A party may terminate immediately for fraud, deliberate rights infringement, insolvency where termination is legally permitted, or serious conduct that makes continued performance unlawful.</w:t>
      </w:r>
    </w:p>
    <w:p>
      <w:pPr>
        <w:keepLines/>
      </w:pPr>
      <w:r>
        <w:rPr>
          <w:rFonts w:ascii="Calibri" w:hAnsi="Calibri"/>
          <w:b w:val="0"/>
          <w:i w:val="0"/>
          <w:color w:val="000000"/>
          <w:sz w:val="22"/>
        </w:rPr>
        <w:t xml:space="preserve">Termination does not erase accrued rights, approved costs, payment obligations or licences already granted to third parties within the agreed authority. The Label shall cease new exploitation after the applicable wind-down period, request takedowns where required, provide a final statement, return or securely delete access credentials not required by law, and remit later receipts during </w:t>
      </w:r>
      <w:r>
        <w:rPr>
          <w:rFonts w:ascii="Calibri" w:hAnsi="Calibri"/>
          <w:b/>
          <w:i w:val="0"/>
          <w:color w:val="6B4E00"/>
          <w:sz w:val="19"/>
          <w:shd w:fill="FFF4CC"/>
        </w:rPr>
        <w:t>{{POST_TERM_COLLECTION_PERIOD}}</w:t>
      </w:r>
      <w:r>
        <w:rPr>
          <w:rFonts w:ascii="Calibri" w:hAnsi="Calibri"/>
          <w:b w:val="0"/>
          <w:i w:val="0"/>
          <w:color w:val="000000"/>
          <w:sz w:val="22"/>
        </w:rPr>
        <w:t>.</w:t>
      </w:r>
    </w:p>
    <w:p>
      <w:pPr>
        <w:pStyle w:val="Heading1"/>
      </w:pPr>
      <w:r>
        <w:rPr>
          <w:rFonts w:ascii="Calibri" w:hAnsi="Calibri"/>
          <w:b/>
          <w:i w:val="0"/>
          <w:color w:val="2E74B5"/>
          <w:sz w:val="32"/>
        </w:rPr>
        <w:t>15. Disputes and governing law</w:t>
      </w:r>
    </w:p>
    <w:p>
      <w:pPr>
        <w:keepLines/>
      </w:pPr>
      <w:r>
        <w:rPr>
          <w:rFonts w:ascii="Calibri" w:hAnsi="Calibri"/>
          <w:b w:val="0"/>
          <w:i w:val="0"/>
          <w:color w:val="000000"/>
          <w:sz w:val="22"/>
        </w:rPr>
        <w:t>The parties shall first attempt in good faith to resolve a dispute through authorised representatives within fourteen days after written notice. If unresolved, they shall attempt mediation in Trinidad and Tobago before commencing a final proceeding, unless urgent injunctive relief is reasonably required to protect rights or confidential information.</w:t>
      </w:r>
    </w:p>
    <w:p>
      <w:pPr>
        <w:keepLines/>
      </w:pPr>
      <w:r>
        <w:rPr>
          <w:rFonts w:ascii="Calibri" w:hAnsi="Calibri"/>
          <w:b/>
          <w:i w:val="0"/>
          <w:color w:val="6B4E00"/>
          <w:sz w:val="19"/>
          <w:shd w:fill="FFF4CC"/>
        </w:rPr>
        <w:t>{{DISPUTE_RESOLUTION_CLAUSE}}</w:t>
      </w:r>
    </w:p>
    <w:p>
      <w:pPr>
        <w:keepLines/>
      </w:pPr>
      <w:r>
        <w:rPr>
          <w:rFonts w:ascii="Calibri" w:hAnsi="Calibri"/>
          <w:b w:val="0"/>
          <w:i w:val="0"/>
          <w:color w:val="000000"/>
          <w:sz w:val="22"/>
        </w:rPr>
        <w:t>This Agreement and all non-contractual obligations connected with it are governed by the laws of the Republic of Trinidad and Tobago.</w:t>
      </w:r>
    </w:p>
    <w:p>
      <w:pPr>
        <w:pStyle w:val="Heading1"/>
      </w:pPr>
      <w:r>
        <w:rPr>
          <w:rFonts w:ascii="Calibri" w:hAnsi="Calibri"/>
          <w:b/>
          <w:i w:val="0"/>
          <w:color w:val="2E74B5"/>
          <w:sz w:val="32"/>
        </w:rPr>
        <w:t>16. Electronic records, notices and general terms</w:t>
      </w:r>
    </w:p>
    <w:p>
      <w:pPr>
        <w:keepLines/>
      </w:pPr>
      <w:r>
        <w:rPr>
          <w:rFonts w:ascii="Calibri" w:hAnsi="Calibri"/>
          <w:b w:val="0"/>
          <w:i w:val="0"/>
          <w:color w:val="000000"/>
          <w:sz w:val="22"/>
        </w:rPr>
        <w:t xml:space="preserve">The parties agree to use electronic records and reliable electronic signatures in accordance with the Electronic Transactions Act, Chap. 22:05. Counterparts form one agreement. Notices shall be sent to </w:t>
      </w:r>
      <w:r>
        <w:rPr>
          <w:rFonts w:ascii="Calibri" w:hAnsi="Calibri"/>
          <w:b/>
          <w:i w:val="0"/>
          <w:color w:val="6B4E00"/>
          <w:sz w:val="19"/>
          <w:shd w:fill="FFF4CC"/>
        </w:rPr>
        <w:t>{{LABEL_NOTICE_EMAIL}}</w:t>
      </w:r>
      <w:r>
        <w:rPr>
          <w:rFonts w:ascii="Calibri" w:hAnsi="Calibri"/>
          <w:b w:val="0"/>
          <w:i w:val="0"/>
          <w:color w:val="000000"/>
          <w:sz w:val="22"/>
        </w:rPr>
        <w:t xml:space="preserve"> for the Label and </w:t>
      </w:r>
      <w:r>
        <w:rPr>
          <w:rFonts w:ascii="Calibri" w:hAnsi="Calibri"/>
          <w:b/>
          <w:i w:val="0"/>
          <w:color w:val="6B4E00"/>
          <w:sz w:val="19"/>
          <w:shd w:fill="FFF4CC"/>
        </w:rPr>
        <w:t>{{ARTIST_NOTICE_EMAIL}}</w:t>
      </w:r>
      <w:r>
        <w:rPr>
          <w:rFonts w:ascii="Calibri" w:hAnsi="Calibri"/>
          <w:b w:val="0"/>
          <w:i w:val="0"/>
          <w:color w:val="000000"/>
          <w:sz w:val="22"/>
        </w:rPr>
        <w:t xml:space="preserve"> for the Artist, with a copy by hand, courier or registered post to the stated address for a notice of material breach or termination unless receipt is electronically acknowledged.</w:t>
      </w:r>
    </w:p>
    <w:p>
      <w:pPr>
        <w:keepLines/>
      </w:pPr>
      <w:r>
        <w:rPr>
          <w:rFonts w:ascii="Calibri" w:hAnsi="Calibri"/>
          <w:b w:val="0"/>
          <w:i w:val="0"/>
          <w:color w:val="000000"/>
          <w:sz w:val="22"/>
        </w:rPr>
        <w:t>Neither party may assign this Agreement except with the other's prior written consent, not unreasonably withheld, other than to a successor acquiring substantially all of the assigning party's relevant business and assuming the obligations in writing. The Label remains responsible for approved subcontractors. The parties are independent contractors; nothing creates employment, partnership, fiduciary relationship or authority to bind the other unless expressly stated.</w:t>
      </w:r>
    </w:p>
    <w:p>
      <w:pPr>
        <w:keepLines/>
      </w:pPr>
      <w:r>
        <w:rPr>
          <w:rFonts w:ascii="Calibri" w:hAnsi="Calibri"/>
          <w:b w:val="0"/>
          <w:i w:val="0"/>
          <w:color w:val="000000"/>
          <w:sz w:val="22"/>
        </w:rPr>
        <w:t>This Agreement and its schedules contain the entire agreement on their subject matter. A variation must be in writing and signed by both parties. Failure to enforce a provision is not a waiver. If a provision is invalid or unenforceable, it shall be narrowed where lawful and the remaining provisions remain effective. Clauses intended by their nature to survive termination shall survive.</w:t>
      </w:r>
    </w:p>
    <w:p>
      <w:pPr>
        <w:pStyle w:val="Heading1"/>
      </w:pPr>
      <w:r>
        <w:rPr>
          <w:rFonts w:ascii="Calibri" w:hAnsi="Calibri"/>
          <w:b/>
          <w:i w:val="0"/>
          <w:color w:val="2E74B5"/>
          <w:sz w:val="32"/>
        </w:rPr>
        <w:t>Schedule 1 - Service Order and Rights Matrix</w:t>
      </w:r>
    </w:p>
    <w:p>
      <w:r>
        <w:rPr>
          <w:rFonts w:ascii="Calibri" w:hAnsi="Calibri"/>
          <w:b w:val="0"/>
          <w:i w:val="0"/>
          <w:color w:val="5F6B7A"/>
          <w:sz w:val="20"/>
        </w:rPr>
        <w:t>Select only the services and rights actually negotiated. Unselected services are outside the Label's authority.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Artist / stage name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Catalogue / project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{{CATALOGUE_OR_PROJECT}}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Selected services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{{SELECTED_LABEL_SERVICES}}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Appointment type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{{SERVICE_APPOINTMENT_TYPE}}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Service licence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{{SERVICE_LICENCE_TYPE}}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Commercial territory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{{COMMERCIAL_TERRITORY}}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Term</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{{TERM_START_DATE}}</w:t>
            </w:r>
            <w:r>
              <w:rPr>
                <w:rFonts w:ascii="Calibri" w:hAnsi="Calibri"/>
                <w:b w:val="0"/>
                <w:i w:val="0"/>
                <w:color w:val="000000"/>
                <w:sz w:val="19"/>
              </w:rPr>
              <w:t xml:space="preserve">; </w:t>
            </w:r>
            <w:r>
              <w:rPr>
                <w:rFonts w:ascii="Calibri" w:hAnsi="Calibri"/>
                <w:b/>
                <w:i w:val="0"/>
                <w:color w:val="6B4E00"/>
                <w:sz w:val="19"/>
                <w:shd w:fill="FFF4CC"/>
              </w:rPr>
              <w:t>{{INITIAL_TERM}}</w:t>
            </w:r>
            <w:r>
              <w:rPr>
                <w:rFonts w:ascii="Calibri" w:hAnsi="Calibri"/>
                <w:b w:val="0"/>
                <w:i w:val="0"/>
                <w:color w:val="000000"/>
                <w:sz w:val="19"/>
              </w:rPr>
              <w:t xml:space="preserve">; </w:t>
            </w:r>
            <w:r>
              <w:rPr>
                <w:rFonts w:ascii="Calibri" w:hAnsi="Calibri"/>
                <w:b/>
                <w:i w:val="0"/>
                <w:color w:val="6B4E00"/>
                <w:sz w:val="19"/>
                <w:shd w:fill="FFF4CC"/>
              </w:rPr>
              <w:t>{{RENEWAL_TERMS}}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Release / delivery plan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{{RELEASE_DELIVERY_PLAN}}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Express Artist approvals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{{EXPRESS_APPROVAL_ITEMS}}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Platform account ownership</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{{PLATFORM_ACCOUNT_OWNERSHIP}}</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Reporting deliverables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{{REPORTING_DELIVERABLES}}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Post-term collection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{{POST_TERM_COLLECTION_PERIOD}}</w:t>
            </w:r>
          </w:p>
        </w:tc>
      </w:tr>
    </w:tbl>
    <w:p>
      <w:r>
        <w:br w:type="page"/>
      </w:r>
    </w:p>
    <w:p>
      <w:pPr>
        <w:pStyle w:val="Heading1"/>
      </w:pPr>
      <w:r>
        <w:rPr>
          <w:rFonts w:ascii="Calibri" w:hAnsi="Calibri"/>
          <w:b/>
          <w:i w:val="0"/>
          <w:color w:val="2E74B5"/>
          <w:sz w:val="32"/>
        </w:rPr>
        <w:t>Schedule 2 - Fees, Revenue and Cost Controls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Service fee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{{SERVICE_FEE_DESCRIPTION}}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Label share / commission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{{LABEL_REVENUE_SHARE}}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Artist share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{{ARTIST_REVENUE_SHARE}}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Permitted deductions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{{PERMITTED_DEDUCTIONS}}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Approved recoupable costs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{{APPROVED_RECOUPABLE_COSTS}}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Unbudgeted-expense cap</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{{UNBUDGETED_EXPENSE_CAP}}</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Cross-collateralisation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{{CROSS_COLLATERALISATION_RULE}}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Statement frequency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{{STATEMENT_FREQUENCY}}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deadline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{{PAYMENT_DAYS}}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Minimum payout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{{MINIMUM_PAYOUT}}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Label</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ARTIST / LABEL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 Label Services Agreement</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