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E74B5"/>
          <w:sz w:val="19"/>
        </w:rPr>
        <w:t>TRINIDAD AND TOBAGO TEMPLATE</w:t>
      </w:r>
    </w:p>
    <w:p>
      <w:pPr>
        <w:spacing w:after="120"/>
      </w:pPr>
      <w:r>
        <w:rPr>
          <w:rFonts w:ascii="Calibri" w:hAnsi="Calibri"/>
          <w:b/>
          <w:i w:val="0"/>
          <w:color w:val="0B2545"/>
          <w:sz w:val="50"/>
        </w:rPr>
        <w:t>Marketing and Promotion Agreement</w:t>
      </w:r>
    </w:p>
    <w:p>
      <w:pPr>
        <w:spacing w:after="280"/>
      </w:pPr>
      <w:r>
        <w:rPr>
          <w:rFonts w:ascii="Calibri" w:hAnsi="Calibri"/>
          <w:b w:val="0"/>
          <w:i w:val="0"/>
          <w:color w:val="5F6B7A"/>
          <w:sz w:val="25"/>
        </w:rPr>
        <w:t>Campaign services agreement with deliverables, approvals, budget controls, reporting and content-use permissions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Template ID</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TT-MPA-04</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Contracting parties</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and </w:t>
            </w:r>
            <w:r>
              <w:rPr>
                <w:rFonts w:ascii="Calibri" w:hAnsi="Calibri"/>
                <w:b/>
                <w:i w:val="0"/>
                <w:color w:val="6B4E00"/>
                <w:sz w:val="19"/>
                <w:shd w:fill="FFF4CC"/>
              </w:rPr>
              <w:t>{{ARTIST_LEGAL_NAME}}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Effective date</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{{EFFECTIVE_DATE}}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Governing law</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Republic of Trinidad and Tobago</w:t>
            </w:r>
          </w:p>
        </w:tc>
      </w:tr>
    </w:tbl>
    <w:p>
      <w:pPr>
        <w:spacing w:before="240" w:after="240"/>
        <w:pBdr>
          <w:bottom w:val="single" w:sz="8" w:space="6" w:color="2E74B5"/>
        </w:pBdr>
      </w:pPr>
      <w:r>
        <w:rPr>
          <w:rFonts w:ascii="Calibri" w:hAnsi="Calibri"/>
          <w:b w:val="0"/>
          <w:i/>
          <w:color w:val="5F6B7A"/>
          <w:sz w:val="19"/>
        </w:rPr>
        <w:t>Important template notice. This document is a drafting aid, not legal advice. Have a Trinidad and Tobago attorney review the completed agreement, the parties' legal capacity, tax treatment, CMO mandates and all negotiated commercial terms before signature.</w:t>
      </w:r>
    </w:p>
    <w:p>
      <w:pPr>
        <w:pStyle w:val="Heading1"/>
      </w:pPr>
      <w:r>
        <w:rPr>
          <w:rFonts w:ascii="Calibri" w:hAnsi="Calibri"/>
          <w:b/>
          <w:i w:val="0"/>
          <w:color w:val="2E74B5"/>
          <w:sz w:val="32"/>
        </w:rPr>
        <w:t>Agreement</w:t>
      </w:r>
    </w:p>
    <w:p>
      <w:pPr>
        <w:keepLines/>
      </w:pPr>
      <w:r>
        <w:rPr>
          <w:rFonts w:ascii="Calibri" w:hAnsi="Calibri"/>
          <w:b w:val="0"/>
          <w:i w:val="0"/>
          <w:color w:val="000000"/>
          <w:sz w:val="22"/>
        </w:rPr>
        <w:t xml:space="preserve">This Agreement is made on </w:t>
      </w:r>
      <w:r>
        <w:rPr>
          <w:rFonts w:ascii="Calibri" w:hAnsi="Calibri"/>
          <w:b/>
          <w:i w:val="0"/>
          <w:color w:val="6B4E00"/>
          <w:sz w:val="19"/>
          <w:shd w:fill="FFF4CC"/>
        </w:rPr>
        <w:t>{{EFFECTIVE_DATE}}</w:t>
      </w:r>
      <w:r>
        <w:rPr>
          <w:rFonts w:ascii="Calibri" w:hAnsi="Calibri"/>
          <w:b w:val="0"/>
          <w:i w:val="0"/>
          <w:color w:val="000000"/>
          <w:sz w:val="22"/>
        </w:rPr>
        <w:t xml:space="preserve"> between </w:t>
      </w:r>
      <w:r>
        <w:rPr>
          <w:rFonts w:ascii="Calibri" w:hAnsi="Calibri"/>
          <w:b/>
          <w:i w:val="0"/>
          <w:color w:val="6B4E00"/>
          <w:sz w:val="19"/>
          <w:shd w:fill="FFF4CC"/>
        </w:rPr>
        <w:t>{{LABEL_LEGAL_NAME}}</w:t>
      </w:r>
      <w:r>
        <w:rPr>
          <w:rFonts w:ascii="Calibri" w:hAnsi="Calibri"/>
          <w:b w:val="0"/>
          <w:i w:val="0"/>
          <w:color w:val="000000"/>
          <w:sz w:val="22"/>
        </w:rPr>
        <w:t xml:space="preserve">, a </w:t>
      </w:r>
      <w:r>
        <w:rPr>
          <w:rFonts w:ascii="Calibri" w:hAnsi="Calibri"/>
          <w:b/>
          <w:i w:val="0"/>
          <w:color w:val="6B4E00"/>
          <w:sz w:val="19"/>
          <w:shd w:fill="FFF4CC"/>
        </w:rPr>
        <w:t>{{LABEL_ENTITY_TYPE}}</w:t>
      </w:r>
      <w:r>
        <w:rPr>
          <w:rFonts w:ascii="Calibri" w:hAnsi="Calibri"/>
          <w:b w:val="0"/>
          <w:i w:val="0"/>
          <w:color w:val="000000"/>
          <w:sz w:val="22"/>
        </w:rPr>
        <w:t xml:space="preserve"> organised or registered under the laws of </w:t>
      </w:r>
      <w:r>
        <w:rPr>
          <w:rFonts w:ascii="Calibri" w:hAnsi="Calibri"/>
          <w:b/>
          <w:i w:val="0"/>
          <w:color w:val="6B4E00"/>
          <w:sz w:val="19"/>
          <w:shd w:fill="FFF4CC"/>
        </w:rPr>
        <w:t>{{LABEL_JURISDICTION}}</w:t>
      </w:r>
      <w:r>
        <w:rPr>
          <w:rFonts w:ascii="Calibri" w:hAnsi="Calibri"/>
          <w:b w:val="0"/>
          <w:i w:val="0"/>
          <w:color w:val="000000"/>
          <w:sz w:val="22"/>
        </w:rPr>
        <w:t xml:space="preserve">, registration number </w:t>
      </w:r>
      <w:r>
        <w:rPr>
          <w:rFonts w:ascii="Calibri" w:hAnsi="Calibri"/>
          <w:b/>
          <w:i w:val="0"/>
          <w:color w:val="6B4E00"/>
          <w:sz w:val="19"/>
          <w:shd w:fill="FFF4CC"/>
        </w:rPr>
        <w:t>{{LABEL_REGISTRATION_NUMBER}}</w:t>
      </w:r>
      <w:r>
        <w:rPr>
          <w:rFonts w:ascii="Calibri" w:hAnsi="Calibri"/>
          <w:b w:val="0"/>
          <w:i w:val="0"/>
          <w:color w:val="000000"/>
          <w:sz w:val="22"/>
        </w:rPr>
        <w:t xml:space="preserve">, with its principal business address at </w:t>
      </w:r>
      <w:r>
        <w:rPr>
          <w:rFonts w:ascii="Calibri" w:hAnsi="Calibri"/>
          <w:b/>
          <w:i w:val="0"/>
          <w:color w:val="6B4E00"/>
          <w:sz w:val="19"/>
          <w:shd w:fill="FFF4CC"/>
        </w:rPr>
        <w:t>{{LABEL_ADDRESS}}</w:t>
      </w:r>
      <w:r>
        <w:rPr>
          <w:rFonts w:ascii="Calibri" w:hAnsi="Calibri"/>
          <w:b w:val="0"/>
          <w:i w:val="0"/>
          <w:color w:val="000000"/>
          <w:sz w:val="22"/>
        </w:rPr>
        <w:t xml:space="preserve"> (the "Label"), and </w:t>
      </w:r>
      <w:r>
        <w:rPr>
          <w:rFonts w:ascii="Calibri" w:hAnsi="Calibri"/>
          <w:b/>
          <w:i w:val="0"/>
          <w:color w:val="6B4E00"/>
          <w:sz w:val="19"/>
          <w:shd w:fill="FFF4CC"/>
        </w:rPr>
        <w:t>{{ARTIST_LEGAL_NAME}}</w:t>
      </w:r>
      <w:r>
        <w:rPr>
          <w:rFonts w:ascii="Calibri" w:hAnsi="Calibri"/>
          <w:b w:val="0"/>
          <w:i w:val="0"/>
          <w:color w:val="000000"/>
          <w:sz w:val="22"/>
        </w:rPr>
        <w:t xml:space="preserve">, professionally known as </w:t>
      </w:r>
      <w:r>
        <w:rPr>
          <w:rFonts w:ascii="Calibri" w:hAnsi="Calibri"/>
          <w:b/>
          <w:i w:val="0"/>
          <w:color w:val="6B4E00"/>
          <w:sz w:val="19"/>
          <w:shd w:fill="FFF4CC"/>
        </w:rPr>
        <w:t>{{ARTIST_STAGE_NAME}}</w:t>
      </w:r>
      <w:r>
        <w:rPr>
          <w:rFonts w:ascii="Calibri" w:hAnsi="Calibri"/>
          <w:b w:val="0"/>
          <w:i w:val="0"/>
          <w:color w:val="000000"/>
          <w:sz w:val="22"/>
        </w:rPr>
        <w:t xml:space="preserve">, of </w:t>
      </w:r>
      <w:r>
        <w:rPr>
          <w:rFonts w:ascii="Calibri" w:hAnsi="Calibri"/>
          <w:b/>
          <w:i w:val="0"/>
          <w:color w:val="6B4E00"/>
          <w:sz w:val="19"/>
          <w:shd w:fill="FFF4CC"/>
        </w:rPr>
        <w:t>{{ARTIST_ADDRESS}}</w:t>
      </w:r>
      <w:r>
        <w:rPr>
          <w:rFonts w:ascii="Calibri" w:hAnsi="Calibri"/>
          <w:b w:val="0"/>
          <w:i w:val="0"/>
          <w:color w:val="000000"/>
          <w:sz w:val="22"/>
        </w:rPr>
        <w:t xml:space="preserve"> (the "Artist").</w:t>
      </w:r>
    </w:p>
    <w:p>
      <w:pPr>
        <w:keepLines/>
      </w:pPr>
      <w:r>
        <w:rPr>
          <w:rFonts w:ascii="Calibri" w:hAnsi="Calibri"/>
          <w:b w:val="0"/>
          <w:i w:val="0"/>
          <w:color w:val="000000"/>
          <w:sz w:val="22"/>
        </w:rPr>
        <w:t>The Artist wishes to engage the Label for the campaign identified in Schedule 1, and the Label agrees to provide only the selected marketing and promotional services.</w:t>
      </w:r>
    </w:p>
    <w:p>
      <w:pPr>
        <w:keepLines/>
      </w:pPr>
      <w:r>
        <w:rPr>
          <w:rFonts w:ascii="Calibri" w:hAnsi="Calibri"/>
          <w:b w:val="0"/>
          <w:i w:val="0"/>
          <w:color w:val="000000"/>
          <w:sz w:val="22"/>
        </w:rPr>
        <w:t>The parties wish to document campaign deliverables, approval responsibility, media spend, vendor controls, measurement and the absence of guaranteed commercial results.</w:t>
      </w:r>
    </w:p>
    <w:p>
      <w:r>
        <w:rPr>
          <w:rFonts w:ascii="Calibri" w:hAnsi="Calibri"/>
          <w:b/>
          <w:i w:val="0"/>
          <w:color w:val="000000"/>
          <w:sz w:val="22"/>
        </w:rPr>
        <w:t>The parties therefore agree as follows:</w:t>
      </w:r>
    </w:p>
    <w:p>
      <w:pPr>
        <w:pStyle w:val="Heading1"/>
      </w:pPr>
      <w:r>
        <w:rPr>
          <w:rFonts w:ascii="Calibri" w:hAnsi="Calibri"/>
          <w:b/>
          <w:i w:val="0"/>
          <w:color w:val="2E74B5"/>
          <w:sz w:val="32"/>
        </w:rPr>
        <w:t>1. Definitions and interpretation</w:t>
      </w:r>
    </w:p>
    <w:p>
      <w:pPr>
        <w:keepLines/>
        <w:ind w:left="259" w:hanging="259"/>
      </w:pPr>
      <w:r>
        <w:rPr>
          <w:rFonts w:ascii="Calibri" w:hAnsi="Calibri"/>
          <w:b/>
          <w:i w:val="0"/>
          <w:color w:val="000000"/>
          <w:sz w:val="22"/>
        </w:rPr>
        <w:t xml:space="preserve">Agreement. </w:t>
      </w:r>
      <w:r>
        <w:rPr>
          <w:rFonts w:ascii="Calibri" w:hAnsi="Calibri"/>
          <w:b w:val="0"/>
          <w:i w:val="0"/>
          <w:color w:val="000000"/>
          <w:sz w:val="22"/>
        </w:rPr>
        <w:t>this agreement, its completed schedules and every signed written amendment.</w:t>
      </w:r>
    </w:p>
    <w:p>
      <w:pPr>
        <w:keepLines/>
        <w:ind w:left="259" w:hanging="259"/>
      </w:pPr>
      <w:r>
        <w:rPr>
          <w:rFonts w:ascii="Calibri" w:hAnsi="Calibri"/>
          <w:b/>
          <w:i w:val="0"/>
          <w:color w:val="000000"/>
          <w:sz w:val="22"/>
        </w:rPr>
        <w:t xml:space="preserve">Artist Materials. </w:t>
      </w:r>
      <w:r>
        <w:rPr>
          <w:rFonts w:ascii="Calibri" w:hAnsi="Calibri"/>
          <w:b w:val="0"/>
          <w:i w:val="0"/>
          <w:color w:val="000000"/>
          <w:sz w:val="22"/>
        </w:rPr>
        <w:t>the Artist's approved name, professional name, biography, image, likeness, logos, approved photographs, audio-visual content and other promotional materials supplied for the agreed services.</w:t>
      </w:r>
    </w:p>
    <w:p>
      <w:pPr>
        <w:keepLines/>
        <w:ind w:left="259" w:hanging="259"/>
      </w:pPr>
      <w:r>
        <w:rPr>
          <w:rFonts w:ascii="Calibri" w:hAnsi="Calibri"/>
          <w:b/>
          <w:i w:val="0"/>
          <w:color w:val="000000"/>
          <w:sz w:val="22"/>
        </w:rPr>
        <w:t xml:space="preserve">Net Receipts. </w:t>
      </w:r>
      <w:r>
        <w:rPr>
          <w:rFonts w:ascii="Calibri" w:hAnsi="Calibri"/>
          <w:b w:val="0"/>
          <w:i w:val="0"/>
          <w:color w:val="000000"/>
          <w:sz w:val="22"/>
        </w:rPr>
        <w:t>money actually received and cleared by the receiving party from authorised exploitation, less only the deductions expressly selected in Schedule 2; Net Receipts do not include amounts never received, uncollected taxes or refunded transactions.</w:t>
      </w:r>
    </w:p>
    <w:p>
      <w:pPr>
        <w:keepLines/>
        <w:ind w:left="259" w:hanging="259"/>
      </w:pPr>
      <w:r>
        <w:rPr>
          <w:rFonts w:ascii="Calibri" w:hAnsi="Calibri"/>
          <w:b/>
          <w:i w:val="0"/>
          <w:color w:val="000000"/>
          <w:sz w:val="22"/>
        </w:rPr>
        <w:t xml:space="preserve">Territory. </w:t>
      </w:r>
      <w:r>
        <w:rPr>
          <w:rFonts w:ascii="Calibri" w:hAnsi="Calibri"/>
          <w:b/>
          <w:i w:val="0"/>
          <w:color w:val="6B4E00"/>
          <w:sz w:val="19"/>
          <w:shd w:fill="FFF4CC"/>
        </w:rPr>
        <w:t>{{COMMERCIAL_TERRITORY}}</w:t>
      </w:r>
      <w:r>
        <w:rPr>
          <w:rFonts w:ascii="Calibri" w:hAnsi="Calibri"/>
          <w:b w:val="0"/>
          <w:i w:val="0"/>
          <w:color w:val="000000"/>
          <w:sz w:val="22"/>
        </w:rPr>
        <w:t>.</w:t>
      </w:r>
    </w:p>
    <w:p>
      <w:pPr>
        <w:keepLines/>
        <w:ind w:left="259" w:hanging="259"/>
      </w:pPr>
      <w:r>
        <w:rPr>
          <w:rFonts w:ascii="Calibri" w:hAnsi="Calibri"/>
          <w:b/>
          <w:i w:val="0"/>
          <w:color w:val="000000"/>
          <w:sz w:val="22"/>
        </w:rPr>
        <w:t xml:space="preserve">Campaign. </w:t>
      </w:r>
      <w:r>
        <w:rPr>
          <w:rFonts w:ascii="Calibri" w:hAnsi="Calibri"/>
          <w:b/>
          <w:i w:val="0"/>
          <w:color w:val="6B4E00"/>
          <w:sz w:val="19"/>
          <w:shd w:fill="FFF4CC"/>
        </w:rPr>
        <w:t>{{CAMPAIGN_NAME}}</w:t>
      </w:r>
      <w:r>
        <w:rPr>
          <w:rFonts w:ascii="Calibri" w:hAnsi="Calibri"/>
          <w:b w:val="0"/>
          <w:i w:val="0"/>
          <w:color w:val="000000"/>
          <w:sz w:val="22"/>
        </w:rPr>
        <w:t xml:space="preserve"> for </w:t>
      </w:r>
      <w:r>
        <w:rPr>
          <w:rFonts w:ascii="Calibri" w:hAnsi="Calibri"/>
          <w:b/>
          <w:i w:val="0"/>
          <w:color w:val="6B4E00"/>
          <w:sz w:val="19"/>
          <w:shd w:fill="FFF4CC"/>
        </w:rPr>
        <w:t>{{CAMPAIGN_PROJECT}}</w:t>
      </w:r>
      <w:r>
        <w:rPr>
          <w:rFonts w:ascii="Calibri" w:hAnsi="Calibri"/>
          <w:b w:val="0"/>
          <w:i w:val="0"/>
          <w:color w:val="000000"/>
          <w:sz w:val="22"/>
        </w:rPr>
        <w:t>, during the campaign period in Schedule 1.</w:t>
      </w:r>
    </w:p>
    <w:p>
      <w:pPr>
        <w:keepLines/>
        <w:ind w:left="259" w:hanging="259"/>
      </w:pPr>
      <w:r>
        <w:rPr>
          <w:rFonts w:ascii="Calibri" w:hAnsi="Calibri"/>
          <w:b/>
          <w:i w:val="0"/>
          <w:color w:val="000000"/>
          <w:sz w:val="22"/>
        </w:rPr>
        <w:t xml:space="preserve">Campaign Assets. </w:t>
      </w:r>
      <w:r>
        <w:rPr>
          <w:rFonts w:ascii="Calibri" w:hAnsi="Calibri"/>
          <w:b w:val="0"/>
          <w:i w:val="0"/>
          <w:color w:val="000000"/>
          <w:sz w:val="22"/>
        </w:rPr>
        <w:t>approved artwork, photographs, audio, video, copy, logos, links, metadata, advertisements and other materials created or supplied for the Campaign.</w:t>
      </w:r>
    </w:p>
    <w:p>
      <w:pPr>
        <w:keepLines/>
        <w:ind w:left="259" w:hanging="259"/>
      </w:pPr>
      <w:r>
        <w:rPr>
          <w:rFonts w:ascii="Calibri" w:hAnsi="Calibri"/>
          <w:b/>
          <w:i w:val="0"/>
          <w:color w:val="000000"/>
          <w:sz w:val="22"/>
        </w:rPr>
        <w:t xml:space="preserve">Media Budget. </w:t>
      </w:r>
      <w:r>
        <w:rPr>
          <w:rFonts w:ascii="Calibri" w:hAnsi="Calibri"/>
          <w:b w:val="0"/>
          <w:i w:val="0"/>
          <w:color w:val="000000"/>
          <w:sz w:val="22"/>
        </w:rPr>
        <w:t>the approved third-party advertising and placement budget in Schedule 2, excluding the Label's professional fee unless the schedule states otherwise.</w:t>
      </w:r>
    </w:p>
    <w:p>
      <w:r>
        <w:rPr>
          <w:rFonts w:ascii="Calibri" w:hAnsi="Calibri"/>
          <w:b w:val="0"/>
          <w:i w:val="0"/>
          <w:color w:val="000000"/>
          <w:sz w:val="22"/>
        </w:rPr>
        <w:t>Headings are for convenience only. References to writing include an accessible and retainable electronic record. A Business Day is a day other than Saturday, Sunday or a public holiday observed in Trinidad and Tobago.</w:t>
      </w:r>
    </w:p>
    <w:p>
      <w:pPr>
        <w:pStyle w:val="Heading1"/>
      </w:pPr>
      <w:r>
        <w:rPr>
          <w:rFonts w:ascii="Calibri" w:hAnsi="Calibri"/>
          <w:b/>
          <w:i w:val="0"/>
          <w:color w:val="2E74B5"/>
          <w:sz w:val="32"/>
        </w:rPr>
        <w:t>2. Campaign appointment and objectives</w:t>
      </w:r>
    </w:p>
    <w:p>
      <w:pPr>
        <w:keepLines/>
      </w:pPr>
      <w:r>
        <w:rPr>
          <w:rFonts w:ascii="Calibri" w:hAnsi="Calibri"/>
          <w:b w:val="0"/>
          <w:i w:val="0"/>
          <w:color w:val="000000"/>
          <w:sz w:val="22"/>
        </w:rPr>
        <w:t xml:space="preserve">The Artist appoints the Label to perform the selected Campaign services from </w:t>
      </w:r>
      <w:r>
        <w:rPr>
          <w:rFonts w:ascii="Calibri" w:hAnsi="Calibri"/>
          <w:b/>
          <w:i w:val="0"/>
          <w:color w:val="6B4E00"/>
          <w:sz w:val="19"/>
          <w:shd w:fill="FFF4CC"/>
        </w:rPr>
        <w:t>{{CAMPAIGN_START_DATE}}</w:t>
      </w:r>
      <w:r>
        <w:rPr>
          <w:rFonts w:ascii="Calibri" w:hAnsi="Calibri"/>
          <w:b w:val="0"/>
          <w:i w:val="0"/>
          <w:color w:val="000000"/>
          <w:sz w:val="22"/>
        </w:rPr>
        <w:t xml:space="preserve"> to </w:t>
      </w:r>
      <w:r>
        <w:rPr>
          <w:rFonts w:ascii="Calibri" w:hAnsi="Calibri"/>
          <w:b/>
          <w:i w:val="0"/>
          <w:color w:val="6B4E00"/>
          <w:sz w:val="19"/>
          <w:shd w:fill="FFF4CC"/>
        </w:rPr>
        <w:t>{{CAMPAIGN_END_DATE}}</w:t>
      </w:r>
      <w:r>
        <w:rPr>
          <w:rFonts w:ascii="Calibri" w:hAnsi="Calibri"/>
          <w:b w:val="0"/>
          <w:i w:val="0"/>
          <w:color w:val="000000"/>
          <w:sz w:val="22"/>
        </w:rPr>
        <w:t xml:space="preserve">. The agreed objectives and key performance indicators are </w:t>
      </w:r>
      <w:r>
        <w:rPr>
          <w:rFonts w:ascii="Calibri" w:hAnsi="Calibri"/>
          <w:b/>
          <w:i w:val="0"/>
          <w:color w:val="6B4E00"/>
          <w:sz w:val="19"/>
          <w:shd w:fill="FFF4CC"/>
        </w:rPr>
        <w:t>{{CAMPAIGN_OBJECTIVES_AND_KPIS}}</w:t>
      </w:r>
      <w:r>
        <w:rPr>
          <w:rFonts w:ascii="Calibri" w:hAnsi="Calibri"/>
          <w:b w:val="0"/>
          <w:i w:val="0"/>
          <w:color w:val="000000"/>
          <w:sz w:val="22"/>
        </w:rPr>
        <w:t>. KPIs are measurement targets, not warranties.</w:t>
      </w:r>
    </w:p>
    <w:p>
      <w:pPr>
        <w:keepLines/>
      </w:pPr>
      <w:r>
        <w:rPr>
          <w:rFonts w:ascii="Calibri" w:hAnsi="Calibri"/>
          <w:b w:val="0"/>
          <w:i w:val="0"/>
          <w:color w:val="000000"/>
          <w:sz w:val="22"/>
        </w:rPr>
        <w:t>The scope is limited to the deliverables, channels, territories and quantities in Schedule 1. Additional posts, edits, interviews, travel, events, ad spend or vendor work require a written change order stating the fee, budget and revised timeline.</w:t>
      </w:r>
    </w:p>
    <w:p>
      <w:pPr>
        <w:pStyle w:val="Heading1"/>
      </w:pPr>
      <w:r>
        <w:rPr>
          <w:rFonts w:ascii="Calibri" w:hAnsi="Calibri"/>
          <w:b/>
          <w:i w:val="0"/>
          <w:color w:val="2E74B5"/>
          <w:sz w:val="32"/>
        </w:rPr>
        <w:t>3. Label services and standard of performance</w:t>
      </w:r>
    </w:p>
    <w:p>
      <w:pPr>
        <w:keepLines/>
      </w:pPr>
      <w:r>
        <w:rPr>
          <w:rFonts w:ascii="Calibri" w:hAnsi="Calibri"/>
          <w:b w:val="0"/>
          <w:i w:val="0"/>
          <w:color w:val="000000"/>
          <w:sz w:val="22"/>
        </w:rPr>
        <w:t>The Label shall develop and execute the approved campaign plan, coordinate selected vendors, maintain a campaign calendar, record material tasks and approvals in the Operations Hub, reconcile campaign costs in the Finance App, and report at the frequency selected in Schedule 1.</w:t>
      </w:r>
    </w:p>
    <w:p>
      <w:pPr>
        <w:keepLines/>
      </w:pPr>
      <w:r>
        <w:rPr>
          <w:rFonts w:ascii="Calibri" w:hAnsi="Calibri"/>
          <w:b w:val="0"/>
          <w:i w:val="0"/>
          <w:color w:val="000000"/>
          <w:sz w:val="22"/>
        </w:rPr>
        <w:t>The Label shall use reasonable professional care, observe applicable advertising and platform rules, identify paid or sponsored content where required, and shall not knowingly use unlawful bots, fake streams, fabricated engagement, undisclosed pay-for-play arrangements or misleading performance claims.</w:t>
      </w:r>
    </w:p>
    <w:p>
      <w:pPr>
        <w:pStyle w:val="Heading1"/>
      </w:pPr>
      <w:r>
        <w:rPr>
          <w:rFonts w:ascii="Calibri" w:hAnsi="Calibri"/>
          <w:b/>
          <w:i w:val="0"/>
          <w:color w:val="2E74B5"/>
          <w:sz w:val="32"/>
        </w:rPr>
        <w:t>4. Artist responsibilities</w:t>
      </w:r>
    </w:p>
    <w:p>
      <w:pPr>
        <w:keepLines/>
      </w:pPr>
      <w:r>
        <w:rPr>
          <w:rFonts w:ascii="Calibri" w:hAnsi="Calibri"/>
          <w:b w:val="0"/>
          <w:i w:val="0"/>
          <w:color w:val="000000"/>
          <w:sz w:val="22"/>
        </w:rPr>
        <w:t>The Artist shall supply Campaign Assets, access, availability, talking points, biographical information and approvals by the dates in Schedule 1. The Artist shall attend approved interviews, appearances and content sessions, subject to reasonable notice and safety considerations.</w:t>
      </w:r>
    </w:p>
    <w:p>
      <w:pPr>
        <w:keepLines/>
      </w:pPr>
      <w:r>
        <w:rPr>
          <w:rFonts w:ascii="Calibri" w:hAnsi="Calibri"/>
          <w:b w:val="0"/>
          <w:i w:val="0"/>
          <w:color w:val="000000"/>
          <w:sz w:val="22"/>
        </w:rPr>
        <w:t>The Artist is responsible for factual accuracy of Artist-supplied claims and shall not direct the Label to publish unlawful, defamatory, discriminatory, infringing or deliberately misleading material.</w:t>
      </w:r>
    </w:p>
    <w:p>
      <w:pPr>
        <w:pStyle w:val="Heading1"/>
      </w:pPr>
      <w:r>
        <w:rPr>
          <w:rFonts w:ascii="Calibri" w:hAnsi="Calibri"/>
          <w:b/>
          <w:i w:val="0"/>
          <w:color w:val="2E74B5"/>
          <w:sz w:val="32"/>
        </w:rPr>
        <w:t>5. Approvals and brand protection</w:t>
      </w:r>
    </w:p>
    <w:p>
      <w:pPr>
        <w:keepLines/>
      </w:pPr>
      <w:r>
        <w:rPr>
          <w:rFonts w:ascii="Calibri" w:hAnsi="Calibri"/>
          <w:b w:val="0"/>
          <w:i w:val="0"/>
          <w:color w:val="000000"/>
          <w:sz w:val="22"/>
        </w:rPr>
        <w:t xml:space="preserve">The approval matrix is </w:t>
      </w:r>
      <w:r>
        <w:rPr>
          <w:rFonts w:ascii="Calibri" w:hAnsi="Calibri"/>
          <w:b/>
          <w:i w:val="0"/>
          <w:color w:val="6B4E00"/>
          <w:sz w:val="19"/>
          <w:shd w:fill="FFF4CC"/>
        </w:rPr>
        <w:t>{{MARKETING_APPROVAL_MATRIX}}</w:t>
      </w:r>
      <w:r>
        <w:rPr>
          <w:rFonts w:ascii="Calibri" w:hAnsi="Calibri"/>
          <w:b w:val="0"/>
          <w:i w:val="0"/>
          <w:color w:val="000000"/>
          <w:sz w:val="22"/>
        </w:rPr>
        <w:t xml:space="preserve">. Requests go to </w:t>
      </w:r>
      <w:r>
        <w:rPr>
          <w:rFonts w:ascii="Calibri" w:hAnsi="Calibri"/>
          <w:b/>
          <w:i w:val="0"/>
          <w:color w:val="6B4E00"/>
          <w:sz w:val="19"/>
          <w:shd w:fill="FFF4CC"/>
        </w:rPr>
        <w:t>{{ARTIST_APPROVAL_EMAIL}}</w:t>
      </w:r>
      <w:r>
        <w:rPr>
          <w:rFonts w:ascii="Calibri" w:hAnsi="Calibri"/>
          <w:b w:val="0"/>
          <w:i w:val="0"/>
          <w:color w:val="000000"/>
          <w:sz w:val="22"/>
        </w:rPr>
        <w:t xml:space="preserve">, and the Artist shall respond within </w:t>
      </w:r>
      <w:r>
        <w:rPr>
          <w:rFonts w:ascii="Calibri" w:hAnsi="Calibri"/>
          <w:b/>
          <w:i w:val="0"/>
          <w:color w:val="6B4E00"/>
          <w:sz w:val="19"/>
          <w:shd w:fill="FFF4CC"/>
        </w:rPr>
        <w:t>{{APPROVAL_RESPONSE_DAYS}}</w:t>
      </w:r>
      <w:r>
        <w:rPr>
          <w:rFonts w:ascii="Calibri" w:hAnsi="Calibri"/>
          <w:b w:val="0"/>
          <w:i w:val="0"/>
          <w:color w:val="000000"/>
          <w:sz w:val="22"/>
        </w:rPr>
        <w:t xml:space="preserve"> Business Days. Silence is not approval for a paid advertisement, brand partnership, political content, material change to the Artist's image, or public statement on a sensitive matter.</w:t>
      </w:r>
    </w:p>
    <w:p>
      <w:pPr>
        <w:keepLines/>
      </w:pPr>
      <w:r>
        <w:rPr>
          <w:rFonts w:ascii="Calibri" w:hAnsi="Calibri"/>
          <w:b w:val="0"/>
          <w:i w:val="0"/>
          <w:color w:val="000000"/>
          <w:sz w:val="22"/>
        </w:rPr>
        <w:t>The Label may correct obvious typographical, formatting or technical errors without renewed approval where meaning is unchanged. Material creative changes require renewed approval. In a genuine reputational or legal emergency, either party may pause publication and shall consult promptly.</w:t>
      </w:r>
    </w:p>
    <w:p>
      <w:pPr>
        <w:pStyle w:val="Heading1"/>
      </w:pPr>
      <w:r>
        <w:rPr>
          <w:rFonts w:ascii="Calibri" w:hAnsi="Calibri"/>
          <w:b/>
          <w:i w:val="0"/>
          <w:color w:val="2E74B5"/>
          <w:sz w:val="32"/>
        </w:rPr>
        <w:t>6. Campaign Assets and intellectual property</w:t>
      </w:r>
    </w:p>
    <w:p>
      <w:pPr>
        <w:keepLines/>
      </w:pPr>
      <w:r>
        <w:rPr>
          <w:rFonts w:ascii="Calibri" w:hAnsi="Calibri"/>
          <w:b w:val="0"/>
          <w:i w:val="0"/>
          <w:color w:val="000000"/>
          <w:sz w:val="22"/>
        </w:rPr>
        <w:t>Pre-existing materials remain owned by their existing owners. The Artist grants the Label a limited licence during the Campaign and archive/reporting period to use approved Artist Materials and music only to perform and evidence the Campaign.</w:t>
      </w:r>
    </w:p>
    <w:p>
      <w:pPr>
        <w:keepLines/>
      </w:pPr>
      <w:r>
        <w:rPr>
          <w:rFonts w:ascii="Calibri" w:hAnsi="Calibri"/>
          <w:b w:val="0"/>
          <w:i w:val="0"/>
          <w:color w:val="000000"/>
          <w:sz w:val="22"/>
        </w:rPr>
        <w:t xml:space="preserve">Ownership of newly created Campaign Assets is </w:t>
      </w:r>
      <w:r>
        <w:rPr>
          <w:rFonts w:ascii="Calibri" w:hAnsi="Calibri"/>
          <w:b/>
          <w:i w:val="0"/>
          <w:color w:val="6B4E00"/>
          <w:sz w:val="19"/>
          <w:shd w:fill="FFF4CC"/>
        </w:rPr>
        <w:t>{{NEW_CAMPAIGN_ASSET_OWNERSHIP}}</w:t>
      </w:r>
      <w:r>
        <w:rPr>
          <w:rFonts w:ascii="Calibri" w:hAnsi="Calibri"/>
          <w:b w:val="0"/>
          <w:i w:val="0"/>
          <w:color w:val="000000"/>
          <w:sz w:val="22"/>
        </w:rPr>
        <w:t>. Vendor-created assets must be governed by written terms granting the required usage rights. Raw production files are included only if Schedule 1 states so. The Artist shall not use an unlicensed stock asset, font, image, beat or template beyond its permitted scope.</w:t>
      </w:r>
    </w:p>
    <w:p>
      <w:pPr>
        <w:pStyle w:val="Heading1"/>
      </w:pPr>
      <w:r>
        <w:rPr>
          <w:rFonts w:ascii="Calibri" w:hAnsi="Calibri"/>
          <w:b/>
          <w:i w:val="0"/>
          <w:color w:val="2E74B5"/>
          <w:sz w:val="32"/>
        </w:rPr>
        <w:t>7. Budget, fees and vendor controls</w:t>
      </w:r>
    </w:p>
    <w:p>
      <w:pPr>
        <w:keepLines/>
      </w:pPr>
      <w:r>
        <w:rPr>
          <w:rFonts w:ascii="Calibri" w:hAnsi="Calibri"/>
          <w:b w:val="0"/>
          <w:i w:val="0"/>
          <w:color w:val="000000"/>
          <w:sz w:val="22"/>
        </w:rPr>
        <w:t xml:space="preserve">The professional fee is </w:t>
      </w:r>
      <w:r>
        <w:rPr>
          <w:rFonts w:ascii="Calibri" w:hAnsi="Calibri"/>
          <w:b/>
          <w:i w:val="0"/>
          <w:color w:val="6B4E00"/>
          <w:sz w:val="19"/>
          <w:shd w:fill="FFF4CC"/>
        </w:rPr>
        <w:t>{{MARKETING_PROFESSIONAL_FEE}}</w:t>
      </w:r>
      <w:r>
        <w:rPr>
          <w:rFonts w:ascii="Calibri" w:hAnsi="Calibri"/>
          <w:b w:val="0"/>
          <w:i w:val="0"/>
          <w:color w:val="000000"/>
          <w:sz w:val="22"/>
        </w:rPr>
        <w:t xml:space="preserve"> and the Media Budget is </w:t>
      </w:r>
      <w:r>
        <w:rPr>
          <w:rFonts w:ascii="Calibri" w:hAnsi="Calibri"/>
          <w:b/>
          <w:i w:val="0"/>
          <w:color w:val="6B4E00"/>
          <w:sz w:val="19"/>
          <w:shd w:fill="FFF4CC"/>
        </w:rPr>
        <w:t>{{MEDIA_BUDGET}}</w:t>
      </w:r>
      <w:r>
        <w:rPr>
          <w:rFonts w:ascii="Calibri" w:hAnsi="Calibri"/>
          <w:b w:val="0"/>
          <w:i w:val="0"/>
          <w:color w:val="000000"/>
          <w:sz w:val="22"/>
        </w:rPr>
        <w:t xml:space="preserve">. The recoupment status is </w:t>
      </w:r>
      <w:r>
        <w:rPr>
          <w:rFonts w:ascii="Calibri" w:hAnsi="Calibri"/>
          <w:b/>
          <w:i w:val="0"/>
          <w:color w:val="6B4E00"/>
          <w:sz w:val="19"/>
          <w:shd w:fill="FFF4CC"/>
        </w:rPr>
        <w:t>{{MARKETING_COST_RECOUPMENT_STATUS}}</w:t>
      </w:r>
      <w:r>
        <w:rPr>
          <w:rFonts w:ascii="Calibri" w:hAnsi="Calibri"/>
          <w:b w:val="0"/>
          <w:i w:val="0"/>
          <w:color w:val="000000"/>
          <w:sz w:val="22"/>
        </w:rPr>
        <w:t xml:space="preserve">. The Label shall not exceed the approved category total or incur a single unbudgeted commitment above </w:t>
      </w:r>
      <w:r>
        <w:rPr>
          <w:rFonts w:ascii="Calibri" w:hAnsi="Calibri"/>
          <w:b/>
          <w:i w:val="0"/>
          <w:color w:val="6B4E00"/>
          <w:sz w:val="19"/>
          <w:shd w:fill="FFF4CC"/>
        </w:rPr>
        <w:t>{{UNBUDGETED_EXPENSE_CAP}}</w:t>
      </w:r>
      <w:r>
        <w:rPr>
          <w:rFonts w:ascii="Calibri" w:hAnsi="Calibri"/>
          <w:b w:val="0"/>
          <w:i w:val="0"/>
          <w:color w:val="000000"/>
          <w:sz w:val="22"/>
        </w:rPr>
        <w:t xml:space="preserve"> without prior written approval.</w:t>
      </w:r>
    </w:p>
    <w:p>
      <w:pPr>
        <w:keepLines/>
      </w:pPr>
      <w:r>
        <w:rPr>
          <w:rFonts w:ascii="Calibri" w:hAnsi="Calibri"/>
          <w:b w:val="0"/>
          <w:i w:val="0"/>
          <w:color w:val="000000"/>
          <w:sz w:val="22"/>
        </w:rPr>
        <w:t xml:space="preserve">A third-party vendor above </w:t>
      </w:r>
      <w:r>
        <w:rPr>
          <w:rFonts w:ascii="Calibri" w:hAnsi="Calibri"/>
          <w:b/>
          <w:i w:val="0"/>
          <w:color w:val="6B4E00"/>
          <w:sz w:val="19"/>
          <w:shd w:fill="FFF4CC"/>
        </w:rPr>
        <w:t>{{VENDOR_CONTRACT_THRESHOLD}}</w:t>
      </w:r>
      <w:r>
        <w:rPr>
          <w:rFonts w:ascii="Calibri" w:hAnsi="Calibri"/>
          <w:b w:val="0"/>
          <w:i w:val="0"/>
          <w:color w:val="000000"/>
          <w:sz w:val="22"/>
        </w:rPr>
        <w:t xml:space="preserve"> shall have a written service order or agreement identifying deliverables, timing, price, cancellation terms and intellectual-property rights. Related purchases shall be aggregated when applying the threshold. The Label shall disclose any material vendor mark-up or related-party vendor arrangement.</w:t>
      </w:r>
    </w:p>
    <w:p>
      <w:pPr>
        <w:pStyle w:val="Heading1"/>
      </w:pPr>
      <w:r>
        <w:rPr>
          <w:rFonts w:ascii="Calibri" w:hAnsi="Calibri"/>
          <w:b/>
          <w:i w:val="0"/>
          <w:color w:val="2E74B5"/>
          <w:sz w:val="32"/>
        </w:rPr>
        <w:t>8. Measurement, access and no guarantee</w:t>
      </w:r>
    </w:p>
    <w:p>
      <w:pPr>
        <w:keepLines/>
      </w:pPr>
      <w:r>
        <w:rPr>
          <w:rFonts w:ascii="Calibri" w:hAnsi="Calibri"/>
          <w:b w:val="0"/>
          <w:i w:val="0"/>
          <w:color w:val="000000"/>
          <w:sz w:val="22"/>
        </w:rPr>
        <w:t>The Label shall report available source data, campaign activity, budget versus actual, results and material limitations. Platform metrics may be delayed, estimated, sampled, corrected or unavailable. Unless separately agreed, the Label does not independently audit platform-reported data.</w:t>
      </w:r>
    </w:p>
    <w:p>
      <w:pPr>
        <w:keepLines/>
      </w:pPr>
      <w:r>
        <w:rPr>
          <w:rFonts w:ascii="Calibri" w:hAnsi="Calibri"/>
          <w:b w:val="0"/>
          <w:i w:val="0"/>
          <w:color w:val="000000"/>
          <w:sz w:val="22"/>
        </w:rPr>
        <w:t>The Label does not guarantee airplay, editorial playlisting, press coverage, bookings, virality, chart position, streams, followers, conversions, sales, sponsorship or income. The Label is responsible for performing the agreed work, not for decisions of audiences, editors, broadcasters, algorithms or third-party platforms.</w:t>
      </w:r>
    </w:p>
    <w:p>
      <w:pPr>
        <w:pStyle w:val="Heading1"/>
      </w:pPr>
      <w:r>
        <w:rPr>
          <w:rFonts w:ascii="Calibri" w:hAnsi="Calibri"/>
          <w:b/>
          <w:i w:val="0"/>
          <w:color w:val="2E74B5"/>
          <w:sz w:val="32"/>
        </w:rPr>
        <w:t>9. Cancellation and campaign wind-down</w:t>
      </w:r>
    </w:p>
    <w:p>
      <w:pPr>
        <w:keepLines/>
      </w:pPr>
      <w:r>
        <w:rPr>
          <w:rFonts w:ascii="Calibri" w:hAnsi="Calibri"/>
          <w:b w:val="0"/>
          <w:i w:val="0"/>
          <w:color w:val="000000"/>
          <w:sz w:val="22"/>
        </w:rPr>
        <w:t xml:space="preserve">Either party may cancel a future deliverable on </w:t>
      </w:r>
      <w:r>
        <w:rPr>
          <w:rFonts w:ascii="Calibri" w:hAnsi="Calibri"/>
          <w:b/>
          <w:i w:val="0"/>
          <w:color w:val="6B4E00"/>
          <w:sz w:val="19"/>
          <w:shd w:fill="FFF4CC"/>
        </w:rPr>
        <w:t>{{CAMPAIGN_CANCELLATION_NOTICE}}</w:t>
      </w:r>
      <w:r>
        <w:rPr>
          <w:rFonts w:ascii="Calibri" w:hAnsi="Calibri"/>
          <w:b w:val="0"/>
          <w:i w:val="0"/>
          <w:color w:val="000000"/>
          <w:sz w:val="22"/>
        </w:rPr>
        <w:t xml:space="preserve"> notice, but remains responsible for non-cancellable vendor commitments and work properly performed before cancellation. The Label shall take reasonable steps to minimise further cost after notice.</w:t>
      </w:r>
    </w:p>
    <w:p>
      <w:pPr>
        <w:keepLines/>
      </w:pPr>
      <w:r>
        <w:rPr>
          <w:rFonts w:ascii="Calibri" w:hAnsi="Calibri"/>
          <w:b w:val="0"/>
          <w:i w:val="0"/>
          <w:color w:val="000000"/>
          <w:sz w:val="22"/>
        </w:rPr>
        <w:t xml:space="preserve">On termination, account ownership and access shall be restored as stated in Schedule 1, scheduled unpublished content shall be paused, final files and reports shall be delivered, and a final budget reconciliation shall be completed within </w:t>
      </w:r>
      <w:r>
        <w:rPr>
          <w:rFonts w:ascii="Calibri" w:hAnsi="Calibri"/>
          <w:b/>
          <w:i w:val="0"/>
          <w:color w:val="6B4E00"/>
          <w:sz w:val="19"/>
          <w:shd w:fill="FFF4CC"/>
        </w:rPr>
        <w:t>{{FINAL_RECONCILIATION_DAYS}}</w:t>
      </w:r>
      <w:r>
        <w:rPr>
          <w:rFonts w:ascii="Calibri" w:hAnsi="Calibri"/>
          <w:b w:val="0"/>
          <w:i w:val="0"/>
          <w:color w:val="000000"/>
          <w:sz w:val="22"/>
        </w:rPr>
        <w:t xml:space="preserve"> Business Days, subject to late vendor invoices.</w:t>
      </w:r>
    </w:p>
    <w:p>
      <w:pPr>
        <w:pStyle w:val="Heading1"/>
      </w:pPr>
      <w:r>
        <w:rPr>
          <w:rFonts w:ascii="Calibri" w:hAnsi="Calibri"/>
          <w:b/>
          <w:i w:val="0"/>
          <w:color w:val="2E74B5"/>
          <w:sz w:val="32"/>
        </w:rPr>
        <w:t>10. Taxes</w:t>
      </w:r>
    </w:p>
    <w:p>
      <w:pPr>
        <w:keepLines/>
      </w:pPr>
      <w:r>
        <w:rPr>
          <w:rFonts w:ascii="Calibri" w:hAnsi="Calibri"/>
          <w:b w:val="0"/>
          <w:i w:val="0"/>
          <w:color w:val="000000"/>
          <w:sz w:val="22"/>
        </w:rPr>
        <w:t xml:space="preserve">Amounts stated are </w:t>
      </w:r>
      <w:r>
        <w:rPr>
          <w:rFonts w:ascii="Calibri" w:hAnsi="Calibri"/>
          <w:b/>
          <w:i w:val="0"/>
          <w:color w:val="6B4E00"/>
          <w:sz w:val="19"/>
          <w:shd w:fill="FFF4CC"/>
        </w:rPr>
        <w:t>{{VAT_TREATMENT}}</w:t>
      </w:r>
      <w:r>
        <w:rPr>
          <w:rFonts w:ascii="Calibri" w:hAnsi="Calibri"/>
          <w:b w:val="0"/>
          <w:i w:val="0"/>
          <w:color w:val="000000"/>
          <w:sz w:val="22"/>
        </w:rPr>
        <w:t>. Each party is responsible for its own taxes and statutory obligations. A payer may make a deduction required by Trinidad and Tobago law, but shall provide the payee with the available certificate or evidence of the deduction. No party shall represent that it gives tax advice.</w:t>
      </w:r>
    </w:p>
    <w:p>
      <w:pPr>
        <w:pStyle w:val="Heading1"/>
      </w:pPr>
      <w:r>
        <w:rPr>
          <w:rFonts w:ascii="Calibri" w:hAnsi="Calibri"/>
          <w:b/>
          <w:i w:val="0"/>
          <w:color w:val="2E74B5"/>
          <w:sz w:val="32"/>
        </w:rPr>
        <w:t>11. Confidentiality, privacy and security</w:t>
      </w:r>
    </w:p>
    <w:p>
      <w:pPr>
        <w:keepLines/>
      </w:pPr>
      <w:r>
        <w:rPr>
          <w:rFonts w:ascii="Calibri" w:hAnsi="Calibri"/>
          <w:b w:val="0"/>
          <w:i w:val="0"/>
          <w:color w:val="000000"/>
          <w:sz w:val="22"/>
        </w:rPr>
        <w:t>Each party shall keep confidential non-public business, creative, contractual, financial, account, login and personal information received from the other and use it only to perform this Agreement. Disclosure is permitted to professional advisers, distributors, platforms, collection societies, subcontractors and authorities only where reasonably necessary and subject to appropriate confidentiality duties or law.</w:t>
      </w:r>
    </w:p>
    <w:p>
      <w:pPr>
        <w:keepLines/>
      </w:pPr>
      <w:r>
        <w:rPr>
          <w:rFonts w:ascii="Calibri" w:hAnsi="Calibri"/>
          <w:b w:val="0"/>
          <w:i w:val="0"/>
          <w:color w:val="000000"/>
          <w:sz w:val="22"/>
        </w:rPr>
        <w:t>Each party shall use reasonable administrative, technical and physical safeguards for personal information and comply with applicable provisions of the Data Protection Act, Chap. 22:04, and other applicable privacy obligations. A party becoming aware of material unauthorised access affecting the other party's information shall notify the other without unreasonable delay and cooperate in reasonable mitigation.</w:t>
      </w:r>
    </w:p>
    <w:p>
      <w:pPr>
        <w:pStyle w:val="Heading1"/>
      </w:pPr>
      <w:r>
        <w:rPr>
          <w:rFonts w:ascii="Calibri" w:hAnsi="Calibri"/>
          <w:b/>
          <w:i w:val="0"/>
          <w:color w:val="2E74B5"/>
          <w:sz w:val="32"/>
        </w:rPr>
        <w:t>12. Representations and warranties</w:t>
      </w:r>
    </w:p>
    <w:p>
      <w:pPr>
        <w:keepLines/>
      </w:pPr>
      <w:r>
        <w:rPr>
          <w:rFonts w:ascii="Calibri" w:hAnsi="Calibri"/>
          <w:b w:val="0"/>
          <w:i w:val="0"/>
          <w:color w:val="000000"/>
          <w:sz w:val="22"/>
        </w:rPr>
        <w:t>Each party represents that it has legal capacity and authority to enter into and perform this Agreement, and that doing so does not knowingly breach another binding agreement. The Artist represents that Artist-controlled materials supplied under this Agreement are original or properly cleared and that all contributor, producer, featured-artist, sample, artwork and other permissions for which the Artist is responsible have been obtained in writing.</w:t>
      </w:r>
    </w:p>
    <w:p>
      <w:pPr>
        <w:keepLines/>
      </w:pPr>
      <w:r>
        <w:rPr>
          <w:rFonts w:ascii="Calibri" w:hAnsi="Calibri"/>
          <w:b w:val="0"/>
          <w:i w:val="0"/>
          <w:color w:val="000000"/>
          <w:sz w:val="22"/>
        </w:rPr>
        <w:t>The Label represents that it will perform its services with reasonable care and skill, will not knowingly exploit rights outside the agreed grant, and will not knowingly enter into a material licence of the Artist's rights where the completed schedules require the Artist's prior written approval.</w:t>
      </w:r>
    </w:p>
    <w:p>
      <w:pPr>
        <w:pStyle w:val="Heading1"/>
      </w:pPr>
      <w:r>
        <w:rPr>
          <w:rFonts w:ascii="Calibri" w:hAnsi="Calibri"/>
          <w:b/>
          <w:i w:val="0"/>
          <w:color w:val="2E74B5"/>
          <w:sz w:val="32"/>
        </w:rPr>
        <w:t>13. Indemnity and liability</w:t>
      </w:r>
    </w:p>
    <w:p>
      <w:pPr>
        <w:keepLines/>
      </w:pPr>
      <w:r>
        <w:rPr>
          <w:rFonts w:ascii="Calibri" w:hAnsi="Calibri"/>
          <w:b w:val="0"/>
          <w:i w:val="0"/>
          <w:color w:val="000000"/>
          <w:sz w:val="22"/>
        </w:rPr>
        <w:t>Each party shall indemnify the other against a finally determined or reasonably settled third-party claim arising directly from the indemnifying party's material breach of its representations, warranties or confidentiality obligations, provided the indemnified party gives prompt notice, reasonable cooperation and control of the defence, and does not settle the claim without consent that is not unreasonably withheld.</w:t>
      </w:r>
    </w:p>
    <w:p>
      <w:pPr>
        <w:keepLines/>
      </w:pPr>
      <w:r>
        <w:rPr>
          <w:rFonts w:ascii="Calibri" w:hAnsi="Calibri"/>
          <w:b w:val="0"/>
          <w:i w:val="0"/>
          <w:color w:val="000000"/>
          <w:sz w:val="22"/>
        </w:rPr>
        <w:t xml:space="preserve">Except for payment obligations, fraud, wilful misconduct, infringement or unauthorised exploitation of intellectual property, breach of confidentiality, or liability that cannot lawfully be limited, neither party is liable to the other for indirect or consequential loss. For all other claims, each party's aggregate liability is limited to </w:t>
      </w:r>
      <w:r>
        <w:rPr>
          <w:rFonts w:ascii="Calibri" w:hAnsi="Calibri"/>
          <w:b/>
          <w:i w:val="0"/>
          <w:color w:val="6B4E00"/>
          <w:sz w:val="19"/>
          <w:shd w:fill="FFF4CC"/>
        </w:rPr>
        <w:t>{{LIABILITY_CAP}}</w:t>
      </w:r>
      <w:r>
        <w:rPr>
          <w:rFonts w:ascii="Calibri" w:hAnsi="Calibri"/>
          <w:b w:val="0"/>
          <w:i w:val="0"/>
          <w:color w:val="000000"/>
          <w:sz w:val="22"/>
        </w:rPr>
        <w:t>, to the extent permitted by law.</w:t>
      </w:r>
    </w:p>
    <w:p>
      <w:pPr>
        <w:pStyle w:val="Heading1"/>
      </w:pPr>
      <w:r>
        <w:rPr>
          <w:rFonts w:ascii="Calibri" w:hAnsi="Calibri"/>
          <w:b/>
          <w:i w:val="0"/>
          <w:color w:val="2E74B5"/>
          <w:sz w:val="32"/>
        </w:rPr>
        <w:t>14. Term, breach and termination</w:t>
      </w:r>
    </w:p>
    <w:p>
      <w:pPr>
        <w:keepLines/>
      </w:pPr>
      <w:r>
        <w:rPr>
          <w:rFonts w:ascii="Calibri" w:hAnsi="Calibri"/>
          <w:b w:val="0"/>
          <w:i w:val="0"/>
          <w:color w:val="000000"/>
          <w:sz w:val="22"/>
        </w:rPr>
        <w:t xml:space="preserve">This Agreement begins on </w:t>
      </w:r>
      <w:r>
        <w:rPr>
          <w:rFonts w:ascii="Calibri" w:hAnsi="Calibri"/>
          <w:b/>
          <w:i w:val="0"/>
          <w:color w:val="6B4E00"/>
          <w:sz w:val="19"/>
          <w:shd w:fill="FFF4CC"/>
        </w:rPr>
        <w:t>{{TERM_START_DATE}}</w:t>
      </w:r>
      <w:r>
        <w:rPr>
          <w:rFonts w:ascii="Calibri" w:hAnsi="Calibri"/>
          <w:b w:val="0"/>
          <w:i w:val="0"/>
          <w:color w:val="000000"/>
          <w:sz w:val="22"/>
        </w:rPr>
        <w:t xml:space="preserve"> and continues for </w:t>
      </w:r>
      <w:r>
        <w:rPr>
          <w:rFonts w:ascii="Calibri" w:hAnsi="Calibri"/>
          <w:b/>
          <w:i w:val="0"/>
          <w:color w:val="6B4E00"/>
          <w:sz w:val="19"/>
          <w:shd w:fill="FFF4CC"/>
        </w:rPr>
        <w:t>{{INITIAL_TERM}}</w:t>
      </w:r>
      <w:r>
        <w:rPr>
          <w:rFonts w:ascii="Calibri" w:hAnsi="Calibri"/>
          <w:b w:val="0"/>
          <w:i w:val="0"/>
          <w:color w:val="000000"/>
          <w:sz w:val="22"/>
        </w:rPr>
        <w:t xml:space="preserve">, subject to </w:t>
      </w:r>
      <w:r>
        <w:rPr>
          <w:rFonts w:ascii="Calibri" w:hAnsi="Calibri"/>
          <w:b/>
          <w:i w:val="0"/>
          <w:color w:val="6B4E00"/>
          <w:sz w:val="19"/>
          <w:shd w:fill="FFF4CC"/>
        </w:rPr>
        <w:t>{{RENEWAL_TERMS}}</w:t>
      </w:r>
      <w:r>
        <w:rPr>
          <w:rFonts w:ascii="Calibri" w:hAnsi="Calibri"/>
          <w:b w:val="0"/>
          <w:i w:val="0"/>
          <w:color w:val="000000"/>
          <w:sz w:val="22"/>
        </w:rPr>
        <w:t xml:space="preserve">. A party may terminate for a material breach not cured within </w:t>
      </w:r>
      <w:r>
        <w:rPr>
          <w:rFonts w:ascii="Calibri" w:hAnsi="Calibri"/>
          <w:b/>
          <w:i w:val="0"/>
          <w:color w:val="6B4E00"/>
          <w:sz w:val="19"/>
          <w:shd w:fill="FFF4CC"/>
        </w:rPr>
        <w:t>{{CURE_PERIOD_DAYS}}</w:t>
      </w:r>
      <w:r>
        <w:rPr>
          <w:rFonts w:ascii="Calibri" w:hAnsi="Calibri"/>
          <w:b w:val="0"/>
          <w:i w:val="0"/>
          <w:color w:val="000000"/>
          <w:sz w:val="22"/>
        </w:rPr>
        <w:t xml:space="preserve"> days after detailed written notice. A party may terminate immediately for fraud, deliberate rights infringement, insolvency where termination is legally permitted, or serious conduct that makes continued performance unlawful.</w:t>
      </w:r>
    </w:p>
    <w:p>
      <w:pPr>
        <w:keepLines/>
      </w:pPr>
      <w:r>
        <w:rPr>
          <w:rFonts w:ascii="Calibri" w:hAnsi="Calibri"/>
          <w:b w:val="0"/>
          <w:i w:val="0"/>
          <w:color w:val="000000"/>
          <w:sz w:val="22"/>
        </w:rPr>
        <w:t xml:space="preserve">Termination does not erase accrued rights, approved costs, payment obligations or licences already granted to third parties within the agreed authority. The Label shall cease new exploitation after the applicable wind-down period, request takedowns where required, provide a final statement, return or securely delete access credentials not required by law, and remit later receipts during </w:t>
      </w:r>
      <w:r>
        <w:rPr>
          <w:rFonts w:ascii="Calibri" w:hAnsi="Calibri"/>
          <w:b/>
          <w:i w:val="0"/>
          <w:color w:val="6B4E00"/>
          <w:sz w:val="19"/>
          <w:shd w:fill="FFF4CC"/>
        </w:rPr>
        <w:t>{{POST_TERM_COLLECTION_PERIOD}}</w:t>
      </w:r>
      <w:r>
        <w:rPr>
          <w:rFonts w:ascii="Calibri" w:hAnsi="Calibri"/>
          <w:b w:val="0"/>
          <w:i w:val="0"/>
          <w:color w:val="000000"/>
          <w:sz w:val="22"/>
        </w:rPr>
        <w:t>.</w:t>
      </w:r>
    </w:p>
    <w:p>
      <w:pPr>
        <w:pStyle w:val="Heading1"/>
      </w:pPr>
      <w:r>
        <w:rPr>
          <w:rFonts w:ascii="Calibri" w:hAnsi="Calibri"/>
          <w:b/>
          <w:i w:val="0"/>
          <w:color w:val="2E74B5"/>
          <w:sz w:val="32"/>
        </w:rPr>
        <w:t>15. Disputes and governing law</w:t>
      </w:r>
    </w:p>
    <w:p>
      <w:pPr>
        <w:keepLines/>
      </w:pPr>
      <w:r>
        <w:rPr>
          <w:rFonts w:ascii="Calibri" w:hAnsi="Calibri"/>
          <w:b w:val="0"/>
          <w:i w:val="0"/>
          <w:color w:val="000000"/>
          <w:sz w:val="22"/>
        </w:rPr>
        <w:t>The parties shall first attempt in good faith to resolve a dispute through authorised representatives within fourteen days after written notice. If unresolved, they shall attempt mediation in Trinidad and Tobago before commencing a final proceeding, unless urgent injunctive relief is reasonably required to protect rights or confidential information.</w:t>
      </w:r>
    </w:p>
    <w:p>
      <w:pPr>
        <w:keepLines/>
      </w:pPr>
      <w:r>
        <w:rPr>
          <w:rFonts w:ascii="Calibri" w:hAnsi="Calibri"/>
          <w:b/>
          <w:i w:val="0"/>
          <w:color w:val="6B4E00"/>
          <w:sz w:val="19"/>
          <w:shd w:fill="FFF4CC"/>
        </w:rPr>
        <w:t>{{DISPUTE_RESOLUTION_CLAUSE}}</w:t>
      </w:r>
    </w:p>
    <w:p>
      <w:pPr>
        <w:keepLines/>
      </w:pPr>
      <w:r>
        <w:rPr>
          <w:rFonts w:ascii="Calibri" w:hAnsi="Calibri"/>
          <w:b w:val="0"/>
          <w:i w:val="0"/>
          <w:color w:val="000000"/>
          <w:sz w:val="22"/>
        </w:rPr>
        <w:t>This Agreement and all non-contractual obligations connected with it are governed by the laws of the Republic of Trinidad and Tobago.</w:t>
      </w:r>
    </w:p>
    <w:p>
      <w:pPr>
        <w:pStyle w:val="Heading1"/>
      </w:pPr>
      <w:r>
        <w:rPr>
          <w:rFonts w:ascii="Calibri" w:hAnsi="Calibri"/>
          <w:b/>
          <w:i w:val="0"/>
          <w:color w:val="2E74B5"/>
          <w:sz w:val="32"/>
        </w:rPr>
        <w:t>16. Electronic records, notices and general terms</w:t>
      </w:r>
    </w:p>
    <w:p>
      <w:pPr>
        <w:keepLines/>
      </w:pPr>
      <w:r>
        <w:rPr>
          <w:rFonts w:ascii="Calibri" w:hAnsi="Calibri"/>
          <w:b w:val="0"/>
          <w:i w:val="0"/>
          <w:color w:val="000000"/>
          <w:sz w:val="22"/>
        </w:rPr>
        <w:t xml:space="preserve">The parties agree to use electronic records and reliable electronic signatures in accordance with the Electronic Transactions Act, Chap. 22:05. Counterparts form one agreement. Notices shall be sent to </w:t>
      </w:r>
      <w:r>
        <w:rPr>
          <w:rFonts w:ascii="Calibri" w:hAnsi="Calibri"/>
          <w:b/>
          <w:i w:val="0"/>
          <w:color w:val="6B4E00"/>
          <w:sz w:val="19"/>
          <w:shd w:fill="FFF4CC"/>
        </w:rPr>
        <w:t>{{LABEL_NOTICE_EMAIL}}</w:t>
      </w:r>
      <w:r>
        <w:rPr>
          <w:rFonts w:ascii="Calibri" w:hAnsi="Calibri"/>
          <w:b w:val="0"/>
          <w:i w:val="0"/>
          <w:color w:val="000000"/>
          <w:sz w:val="22"/>
        </w:rPr>
        <w:t xml:space="preserve"> for the Label and </w:t>
      </w:r>
      <w:r>
        <w:rPr>
          <w:rFonts w:ascii="Calibri" w:hAnsi="Calibri"/>
          <w:b/>
          <w:i w:val="0"/>
          <w:color w:val="6B4E00"/>
          <w:sz w:val="19"/>
          <w:shd w:fill="FFF4CC"/>
        </w:rPr>
        <w:t>{{ARTIST_NOTICE_EMAIL}}</w:t>
      </w:r>
      <w:r>
        <w:rPr>
          <w:rFonts w:ascii="Calibri" w:hAnsi="Calibri"/>
          <w:b w:val="0"/>
          <w:i w:val="0"/>
          <w:color w:val="000000"/>
          <w:sz w:val="22"/>
        </w:rPr>
        <w:t xml:space="preserve"> for the Artist, with a copy by hand, courier or registered post to the stated address for a notice of material breach or termination unless receipt is electronically acknowledged.</w:t>
      </w:r>
    </w:p>
    <w:p>
      <w:pPr>
        <w:keepLines/>
      </w:pPr>
      <w:r>
        <w:rPr>
          <w:rFonts w:ascii="Calibri" w:hAnsi="Calibri"/>
          <w:b w:val="0"/>
          <w:i w:val="0"/>
          <w:color w:val="000000"/>
          <w:sz w:val="22"/>
        </w:rPr>
        <w:t>Neither party may assign this Agreement except with the other's prior written consent, not unreasonably withheld, other than to a successor acquiring substantially all of the assigning party's relevant business and assuming the obligations in writing. The Label remains responsible for approved subcontractors. The parties are independent contractors; nothing creates employment, partnership, fiduciary relationship or authority to bind the other unless expressly stated.</w:t>
      </w:r>
    </w:p>
    <w:p>
      <w:pPr>
        <w:keepLines/>
      </w:pPr>
      <w:r>
        <w:rPr>
          <w:rFonts w:ascii="Calibri" w:hAnsi="Calibri"/>
          <w:b w:val="0"/>
          <w:i w:val="0"/>
          <w:color w:val="000000"/>
          <w:sz w:val="22"/>
        </w:rPr>
        <w:t>This Agreement and its schedules contain the entire agreement on their subject matter. A variation must be in writing and signed by both parties. Failure to enforce a provision is not a waiver. If a provision is invalid or unenforceable, it shall be narrowed where lawful and the remaining provisions remain effective. Clauses intended by their nature to survive termination shall survive.</w:t>
      </w:r>
    </w:p>
    <w:p>
      <w:pPr>
        <w:pStyle w:val="Heading1"/>
      </w:pPr>
      <w:r>
        <w:rPr>
          <w:rFonts w:ascii="Calibri" w:hAnsi="Calibri"/>
          <w:b/>
          <w:i w:val="0"/>
          <w:color w:val="2E74B5"/>
          <w:sz w:val="32"/>
        </w:rPr>
        <w:t>Schedule 1 - Campaign Brief, Deliverables and Approval Matrix</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Campaign / project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{{CAMPAIGN_NAME}}</w:t>
            </w:r>
            <w:r>
              <w:rPr>
                <w:rFonts w:ascii="Calibri" w:hAnsi="Calibri"/>
                <w:b w:val="0"/>
                <w:i w:val="0"/>
                <w:color w:val="000000"/>
                <w:sz w:val="19"/>
              </w:rPr>
              <w:t xml:space="preserve"> / </w:t>
            </w:r>
            <w:r>
              <w:rPr>
                <w:rFonts w:ascii="Calibri" w:hAnsi="Calibri"/>
                <w:b/>
                <w:i w:val="0"/>
                <w:color w:val="6B4E00"/>
                <w:sz w:val="19"/>
                <w:shd w:fill="FFF4CC"/>
              </w:rPr>
              <w:t>{{CAMPAIGN_PROJECT}}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Campaign period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{{CAMPAIGN_START_DATE}}</w:t>
            </w:r>
            <w:r>
              <w:rPr>
                <w:rFonts w:ascii="Calibri" w:hAnsi="Calibri"/>
                <w:b w:val="0"/>
                <w:i w:val="0"/>
                <w:color w:val="000000"/>
                <w:sz w:val="19"/>
              </w:rPr>
              <w:t xml:space="preserve"> to </w:t>
            </w:r>
            <w:r>
              <w:rPr>
                <w:rFonts w:ascii="Calibri" w:hAnsi="Calibri"/>
                <w:b/>
                <w:i w:val="0"/>
                <w:color w:val="6B4E00"/>
                <w:sz w:val="19"/>
                <w:shd w:fill="FFF4CC"/>
              </w:rPr>
              <w:t>{{CAMPAIGN_END_DATE}}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Objectives and KPIs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{{CAMPAIGN_OBJECTIVES_AND_KPIS}}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Target audience / territory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{{TARGET_AUDIENCE}}</w:t>
            </w:r>
            <w:r>
              <w:rPr>
                <w:rFonts w:ascii="Calibri" w:hAnsi="Calibri"/>
                <w:b w:val="0"/>
                <w:i w:val="0"/>
                <w:color w:val="000000"/>
                <w:sz w:val="19"/>
              </w:rPr>
              <w:t xml:space="preserve"> / </w:t>
            </w:r>
            <w:r>
              <w:rPr>
                <w:rFonts w:ascii="Calibri" w:hAnsi="Calibri"/>
                <w:b/>
                <w:i w:val="0"/>
                <w:color w:val="6B4E00"/>
                <w:sz w:val="19"/>
                <w:shd w:fill="FFF4CC"/>
              </w:rPr>
              <w:t>{{COMMERCIAL_TERRITORY}}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Selected services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{{SELECTED_MARKETING_SERVICES}}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Deliverables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{{MARKETING_DELIVERABLES}}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Channels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{{MARKETING_CHANNELS}}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Artist availability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{{ARTIST_AVAILABILITY_REQUIREMENTS}}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Approval matrix</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{{MARKETING_APPROVAL_MATRIX}}</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Response time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{{APPROVAL_RESPONSE_DAYS}}</w:t>
            </w:r>
            <w:r>
              <w:rPr>
                <w:rFonts w:ascii="Calibri" w:hAnsi="Calibri"/>
                <w:b w:val="0"/>
                <w:i w:val="0"/>
                <w:color w:val="000000"/>
                <w:sz w:val="19"/>
              </w:rPr>
              <w:t xml:space="preserve"> Business Days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Asset ownership</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{{NEW_CAMPAIGN_ASSET_OWNERSHIP}}</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Raw files included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{{RAW_FILES_INCLUDED}}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Reporting</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{{CAMPAIGN_REPORTING_FREQUENCY}}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Account ownership / handover</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{{CAMPAIGN_ACCOUNT_HANDOVER}}</w:t>
            </w:r>
          </w:p>
        </w:tc>
      </w:tr>
    </w:tbl>
    <w:p>
      <w:r>
        <w:br w:type="page"/>
      </w:r>
    </w:p>
    <w:p>
      <w:pPr>
        <w:pStyle w:val="Heading1"/>
      </w:pPr>
      <w:r>
        <w:rPr>
          <w:rFonts w:ascii="Calibri" w:hAnsi="Calibri"/>
          <w:b/>
          <w:i w:val="0"/>
          <w:color w:val="2E74B5"/>
          <w:sz w:val="32"/>
        </w:rPr>
        <w:t>Schedule 2 - Campaign Budget and Payment Controls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Currency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Professional fee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{{MARKETING_PROFESSIONAL_FEE}}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Media budget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{{MEDIA_BUDGET}}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Budget categories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{{CAMPAIGN_BUDGET_CATEGORIES}}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Cost status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{{MARKETING_COST_RECOUPMENT_STATUS}}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Expense approval cap</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{{UNBUDGETED_EXPENSE_CAP}}</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Vendor contract threshold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{{VENDOR_CONTRACT_THRESHOLD}}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Payment schedule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{{MARKETING_PAYMENT_SCHEDULE}}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Cancellation notice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{{CAMPAIGN_CANCELLATION_NOTICE}}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Final reconciliation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{{FINAL_RECONCILIATION_DAYS}}</w:t>
            </w:r>
            <w:r>
              <w:rPr>
                <w:rFonts w:ascii="Calibri" w:hAnsi="Calibri"/>
                <w:b w:val="0"/>
                <w:i w:val="0"/>
                <w:color w:val="000000"/>
                <w:sz w:val="19"/>
              </w:rPr>
              <w:t xml:space="preserve"> Business Days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VAT treatment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{{VAT_TREATMENT}}</w:t>
            </w:r>
          </w:p>
        </w:tc>
      </w:tr>
    </w:tbl>
    <w:p>
      <w:r>
        <w:br w:type="page"/>
      </w:r>
    </w:p>
    <w:p>
      <w:pPr>
        <w:pStyle w:val="Heading1"/>
      </w:pPr>
      <w:r>
        <w:rPr>
          <w:rFonts w:ascii="Calibri" w:hAnsi="Calibri"/>
          <w:b/>
          <w:i w:val="0"/>
          <w:color w:val="2E74B5"/>
          <w:sz w:val="32"/>
        </w:rPr>
        <w:t>Execution</w:t>
      </w:r>
    </w:p>
    <w:p>
      <w:r>
        <w:rPr>
          <w:rFonts w:ascii="Calibri" w:hAnsi="Calibri"/>
          <w:b w:val="0"/>
          <w:i w:val="0"/>
          <w:color w:val="000000"/>
          <w:sz w:val="22"/>
        </w:rPr>
        <w:t>Each signatory confirms that they are authorised to sign, had a reasonable opportunity to obtain independent legal advice, understand the agreement and intend to be legally bound. The parties consent to counterparts and reliable electronic 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100" w:type="dxa"/>
              <w:start w:w="120" w:type="dxa"/>
              <w:bottom w:w="100" w:type="dxa"/>
              <w:end w:w="120" w:type="dxa"/>
            </w:tcMar>
          </w:tcPr>
          <w:p>
            <w:r>
              <w:rPr>
                <w:rFonts w:ascii="Calibri" w:hAnsi="Calibri"/>
                <w:b/>
                <w:i w:val="0"/>
                <w:color w:val="0B2545"/>
                <w:sz w:val="20"/>
              </w:rPr>
              <w:t>For the Label</w:t>
            </w:r>
          </w:p>
        </w:tc>
        <w:tc>
          <w:tcPr>
            <w:tcW w:type="dxa" w:w="4680"/>
            <w:shd w:fill="E8EEF5"/>
            <w:vAlign w:val="center"/>
            <w:tcMar>
              <w:top w:w="100" w:type="dxa"/>
              <w:start w:w="120" w:type="dxa"/>
              <w:bottom w:w="100" w:type="dxa"/>
              <w:end w:w="120" w:type="dxa"/>
            </w:tcMar>
          </w:tcPr>
          <w:p>
            <w:r>
              <w:rPr>
                <w:rFonts w:ascii="Calibri" w:hAnsi="Calibri"/>
                <w:b/>
                <w:i w:val="0"/>
                <w:color w:val="0B2545"/>
                <w:sz w:val="20"/>
              </w:rPr>
              <w:t>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{{LABEL_LEGAL_NAME}}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{{LABEL_SIGNATORY_NAME}}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{{ARTIST_LEGAL_NAME}}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Title: </w:t>
            </w:r>
            <w:r>
              <w:rPr>
                <w:rFonts w:ascii="Calibri" w:hAnsi="Calibri"/>
                <w:b/>
                <w:i w:val="0"/>
                <w:color w:val="6B4E00"/>
                <w:sz w:val="19"/>
                <w:shd w:fill="FFF4CC"/>
              </w:rPr>
              <w:t>{{LABEL_SIGNATORY_TITLE}}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Title: 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{{LABEL_SIGNATURE_DATE}}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{{ARTIST_SIGNATURE_DATE}}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{{LABEL_WITNESS_NAME}}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{{ARTIST_WITNESS_NAME}}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r>
    </w:tbl>
    <w:p>
      <w:pPr>
        <w:spacing w:before="240"/>
      </w:pPr>
      <w:r>
        <w:rPr>
          <w:rFonts w:ascii="Calibri" w:hAnsi="Calibri"/>
          <w:b w:val="0"/>
          <w:i/>
          <w:color w:val="5F6B7A"/>
          <w:sz w:val="19"/>
        </w:rPr>
        <w:t>Minor-artist safeguard: if the Artist is under eighteen years of age or otherwise lacks full contractual capacity, stop this generator and obtain an attorney-prepared parent/guardian consent and court/other approval where legally required.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val="0"/>
        <w:i w:val="0"/>
        <w:color w:val="5F6B7A"/>
        <w:sz w:val="17"/>
      </w:rPr>
      <w:t>TP-CAMP CONTRACT TEMPLATE  |  MARKETING / PROMOTION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and Promotion Agreement</dc:title>
  <dc:subject>Editable Trinidad and Tobago music agreement template</dc:subject>
  <dc:creator>TP-CAMP Contract Generator</dc:creator>
  <cp:keywords>Trinidad and Tobago, music contract, artist, label, template</cp:keywords>
  <dc:description>generated by python-docx</dc:description>
  <cp:lastModifiedBy/>
  <cp:revision>1</cp:revision>
  <dcterms:created xsi:type="dcterms:W3CDTF">2013-12-23T23:15:00Z</dcterms:created>
  <dcterms:modified xsi:type="dcterms:W3CDTF">2013-12-23T23:15:00Z</dcterms:modified>
  <cp:category/>
</cp:coreProperties>
</file>