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Calibri" w:hAnsi="Calibri"/>
          <w:b/>
          <w:i w:val="0"/>
          <w:color w:val="2E74B5"/>
          <w:sz w:val="19"/>
        </w:rPr>
        <w:t>TRINIDAD AND TOBAGO TEMPLATE</w:t>
      </w:r>
    </w:p>
    <w:p>
      <w:pPr>
        <w:spacing w:after="120"/>
      </w:pPr>
      <w:r>
        <w:rPr>
          <w:rFonts w:ascii="Calibri" w:hAnsi="Calibri"/>
          <w:b/>
          <w:i w:val="0"/>
          <w:color w:val="0B2545"/>
          <w:sz w:val="50"/>
        </w:rPr>
        <w:t>Publishing Administration Agreement</w:t>
      </w:r>
    </w:p>
    <w:p>
      <w:pPr>
        <w:spacing w:after="280"/>
      </w:pPr>
      <w:r>
        <w:rPr>
          <w:rFonts w:ascii="Calibri" w:hAnsi="Calibri"/>
          <w:b w:val="0"/>
          <w:i w:val="0"/>
          <w:color w:val="5F6B7A"/>
          <w:sz w:val="25"/>
        </w:rPr>
        <w:t>Administration-only agreement for musical works, registrations, licensing, collections and transparent accounting</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Template ID</w:t>
            </w:r>
          </w:p>
        </w:tc>
        <w:tc>
          <w:tcPr>
            <w:tcW w:type="dxa" w:w="7660"/>
            <w:vAlign w:val="center"/>
            <w:tcMar>
              <w:top w:w="100" w:type="dxa"/>
              <w:start w:w="120" w:type="dxa"/>
              <w:bottom w:w="100" w:type="dxa"/>
              <w:end w:w="120" w:type="dxa"/>
            </w:tcMar>
          </w:tcPr>
          <w:p>
            <w:pPr>
              <w:spacing w:after="0"/>
            </w:pPr>
            <w:r>
              <w:rPr>
                <w:rFonts w:ascii="Calibri" w:hAnsi="Calibri"/>
                <w:b w:val="0"/>
                <w:i w:val="0"/>
                <w:color w:val="000000"/>
                <w:sz w:val="19"/>
              </w:rPr>
              <w:t>TT-PAA-06</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Contracting parties</w:t>
            </w:r>
          </w:p>
        </w:tc>
        <w:tc>
          <w:tcPr>
            <w:tcW w:type="dxa" w:w="7660"/>
            <w:vAlign w:val="center"/>
            <w:tcMar>
              <w:top w:w="100" w:type="dxa"/>
              <w:start w:w="120" w:type="dxa"/>
              <w:bottom w:w="100" w:type="dxa"/>
              <w:end w:w="120" w:type="dxa"/>
            </w:tcMar>
          </w:tcPr>
          <w:p>
            <w:pPr>
              <w:spacing w:after="0"/>
            </w:pPr>
            <w:r>
              <w:rPr>
                <w:rFonts w:ascii="Calibri" w:hAnsi="Calibri"/>
                <w:b/>
                <w:i w:val="0"/>
                <w:color w:val="6B4E00"/>
                <w:sz w:val="19"/>
                <w:shd w:fill="FFF4CC"/>
              </w:rPr>
              <w:t>{{LABEL_LEGAL_NAME}}</w:t>
            </w:r>
            <w:r>
              <w:rPr>
                <w:rFonts w:ascii="Calibri" w:hAnsi="Calibri"/>
                <w:b w:val="0"/>
                <w:i w:val="0"/>
                <w:color w:val="000000"/>
                <w:sz w:val="19"/>
              </w:rPr>
              <w:t xml:space="preserve"> and </w:t>
            </w:r>
            <w:r>
              <w:rPr>
                <w:rFonts w:ascii="Calibri" w:hAnsi="Calibri"/>
                <w:b/>
                <w:i w:val="0"/>
                <w:color w:val="6B4E00"/>
                <w:sz w:val="19"/>
                <w:shd w:fill="FFF4CC"/>
              </w:rPr>
              <w:t>{{ARTIST_LEGAL_NAME}}</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Effective date</w:t>
            </w:r>
          </w:p>
        </w:tc>
        <w:tc>
          <w:tcPr>
            <w:tcW w:type="dxa" w:w="7660"/>
            <w:vAlign w:val="center"/>
            <w:tcMar>
              <w:top w:w="100" w:type="dxa"/>
              <w:start w:w="120" w:type="dxa"/>
              <w:bottom w:w="100" w:type="dxa"/>
              <w:end w:w="120" w:type="dxa"/>
            </w:tcMar>
          </w:tcPr>
          <w:p>
            <w:pPr>
              <w:spacing w:after="0"/>
            </w:pPr>
            <w:r>
              <w:rPr>
                <w:rFonts w:ascii="Calibri" w:hAnsi="Calibri"/>
                <w:b/>
                <w:i w:val="0"/>
                <w:color w:val="6B4E00"/>
                <w:sz w:val="19"/>
                <w:shd w:fill="FFF4CC"/>
              </w:rPr>
              <w:t>{{EFFECTIVE_DATE}}</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Governing law</w:t>
            </w:r>
          </w:p>
        </w:tc>
        <w:tc>
          <w:tcPr>
            <w:tcW w:type="dxa" w:w="7660"/>
            <w:vAlign w:val="center"/>
            <w:tcMar>
              <w:top w:w="100" w:type="dxa"/>
              <w:start w:w="120" w:type="dxa"/>
              <w:bottom w:w="100" w:type="dxa"/>
              <w:end w:w="120" w:type="dxa"/>
            </w:tcMar>
          </w:tcPr>
          <w:p>
            <w:pPr>
              <w:spacing w:after="0"/>
            </w:pPr>
            <w:r>
              <w:rPr>
                <w:rFonts w:ascii="Calibri" w:hAnsi="Calibri"/>
                <w:b w:val="0"/>
                <w:i w:val="0"/>
                <w:color w:val="000000"/>
                <w:sz w:val="19"/>
              </w:rPr>
              <w:t>Republic of Trinidad and Tobago</w:t>
            </w:r>
          </w:p>
        </w:tc>
      </w:tr>
    </w:tbl>
    <w:p>
      <w:pPr>
        <w:spacing w:before="240" w:after="240"/>
        <w:pBdr>
          <w:bottom w:val="single" w:sz="8" w:space="6" w:color="2E74B5"/>
        </w:pBdr>
      </w:pPr>
      <w:r>
        <w:rPr>
          <w:rFonts w:ascii="Calibri" w:hAnsi="Calibri"/>
          <w:b w:val="0"/>
          <w:i/>
          <w:color w:val="5F6B7A"/>
          <w:sz w:val="19"/>
        </w:rPr>
        <w:t>Important template notice. This document is a drafting aid, not legal advice. Have a Trinidad and Tobago attorney review the completed agreement, the parties' legal capacity, tax treatment, CMO mandates and all negotiated commercial terms before signature.</w:t>
      </w:r>
    </w:p>
    <w:p>
      <w:pPr>
        <w:pStyle w:val="Heading1"/>
      </w:pPr>
      <w:r>
        <w:rPr>
          <w:rFonts w:ascii="Calibri" w:hAnsi="Calibri"/>
          <w:b/>
          <w:i w:val="0"/>
          <w:color w:val="2E74B5"/>
          <w:sz w:val="32"/>
        </w:rPr>
        <w:t>Agreement</w:t>
      </w:r>
    </w:p>
    <w:p>
      <w:pPr>
        <w:keepLines/>
      </w:pPr>
      <w:r>
        <w:rPr>
          <w:rFonts w:ascii="Calibri" w:hAnsi="Calibri"/>
          <w:b w:val="0"/>
          <w:i w:val="0"/>
          <w:color w:val="000000"/>
          <w:sz w:val="22"/>
        </w:rPr>
        <w:t xml:space="preserve">This Agreement is made on </w:t>
      </w:r>
      <w:r>
        <w:rPr>
          <w:rFonts w:ascii="Calibri" w:hAnsi="Calibri"/>
          <w:b/>
          <w:i w:val="0"/>
          <w:color w:val="6B4E00"/>
          <w:sz w:val="19"/>
          <w:shd w:fill="FFF4CC"/>
        </w:rPr>
        <w:t>{{EFFECTIVE_DATE}}</w:t>
      </w:r>
      <w:r>
        <w:rPr>
          <w:rFonts w:ascii="Calibri" w:hAnsi="Calibri"/>
          <w:b w:val="0"/>
          <w:i w:val="0"/>
          <w:color w:val="000000"/>
          <w:sz w:val="22"/>
        </w:rPr>
        <w:t xml:space="preserve"> between </w:t>
      </w:r>
      <w:r>
        <w:rPr>
          <w:rFonts w:ascii="Calibri" w:hAnsi="Calibri"/>
          <w:b/>
          <w:i w:val="0"/>
          <w:color w:val="6B4E00"/>
          <w:sz w:val="19"/>
          <w:shd w:fill="FFF4CC"/>
        </w:rPr>
        <w:t>{{LABEL_LEGAL_NAME}}</w:t>
      </w:r>
      <w:r>
        <w:rPr>
          <w:rFonts w:ascii="Calibri" w:hAnsi="Calibri"/>
          <w:b w:val="0"/>
          <w:i w:val="0"/>
          <w:color w:val="000000"/>
          <w:sz w:val="22"/>
        </w:rPr>
        <w:t xml:space="preserve">, a </w:t>
      </w:r>
      <w:r>
        <w:rPr>
          <w:rFonts w:ascii="Calibri" w:hAnsi="Calibri"/>
          <w:b/>
          <w:i w:val="0"/>
          <w:color w:val="6B4E00"/>
          <w:sz w:val="19"/>
          <w:shd w:fill="FFF4CC"/>
        </w:rPr>
        <w:t>{{LABEL_ENTITY_TYPE}}</w:t>
      </w:r>
      <w:r>
        <w:rPr>
          <w:rFonts w:ascii="Calibri" w:hAnsi="Calibri"/>
          <w:b w:val="0"/>
          <w:i w:val="0"/>
          <w:color w:val="000000"/>
          <w:sz w:val="22"/>
        </w:rPr>
        <w:t xml:space="preserve"> organised or registered under the laws of </w:t>
      </w:r>
      <w:r>
        <w:rPr>
          <w:rFonts w:ascii="Calibri" w:hAnsi="Calibri"/>
          <w:b/>
          <w:i w:val="0"/>
          <w:color w:val="6B4E00"/>
          <w:sz w:val="19"/>
          <w:shd w:fill="FFF4CC"/>
        </w:rPr>
        <w:t>{{LABEL_JURISDICTION}}</w:t>
      </w:r>
      <w:r>
        <w:rPr>
          <w:rFonts w:ascii="Calibri" w:hAnsi="Calibri"/>
          <w:b w:val="0"/>
          <w:i w:val="0"/>
          <w:color w:val="000000"/>
          <w:sz w:val="22"/>
        </w:rPr>
        <w:t xml:space="preserve">, registration number </w:t>
      </w:r>
      <w:r>
        <w:rPr>
          <w:rFonts w:ascii="Calibri" w:hAnsi="Calibri"/>
          <w:b/>
          <w:i w:val="0"/>
          <w:color w:val="6B4E00"/>
          <w:sz w:val="19"/>
          <w:shd w:fill="FFF4CC"/>
        </w:rPr>
        <w:t>{{LABEL_REGISTRATION_NUMBER}}</w:t>
      </w:r>
      <w:r>
        <w:rPr>
          <w:rFonts w:ascii="Calibri" w:hAnsi="Calibri"/>
          <w:b w:val="0"/>
          <w:i w:val="0"/>
          <w:color w:val="000000"/>
          <w:sz w:val="22"/>
        </w:rPr>
        <w:t xml:space="preserve">, with its principal business address at </w:t>
      </w:r>
      <w:r>
        <w:rPr>
          <w:rFonts w:ascii="Calibri" w:hAnsi="Calibri"/>
          <w:b/>
          <w:i w:val="0"/>
          <w:color w:val="6B4E00"/>
          <w:sz w:val="19"/>
          <w:shd w:fill="FFF4CC"/>
        </w:rPr>
        <w:t>{{LABEL_ADDRESS}}</w:t>
      </w:r>
      <w:r>
        <w:rPr>
          <w:rFonts w:ascii="Calibri" w:hAnsi="Calibri"/>
          <w:b w:val="0"/>
          <w:i w:val="0"/>
          <w:color w:val="000000"/>
          <w:sz w:val="22"/>
        </w:rPr>
        <w:t xml:space="preserve"> (the "Label"), and </w:t>
      </w:r>
      <w:r>
        <w:rPr>
          <w:rFonts w:ascii="Calibri" w:hAnsi="Calibri"/>
          <w:b/>
          <w:i w:val="0"/>
          <w:color w:val="6B4E00"/>
          <w:sz w:val="19"/>
          <w:shd w:fill="FFF4CC"/>
        </w:rPr>
        <w:t>{{ARTIST_LEGAL_NAME}}</w:t>
      </w:r>
      <w:r>
        <w:rPr>
          <w:rFonts w:ascii="Calibri" w:hAnsi="Calibri"/>
          <w:b w:val="0"/>
          <w:i w:val="0"/>
          <w:color w:val="000000"/>
          <w:sz w:val="22"/>
        </w:rPr>
        <w:t xml:space="preserve">, professionally known as </w:t>
      </w:r>
      <w:r>
        <w:rPr>
          <w:rFonts w:ascii="Calibri" w:hAnsi="Calibri"/>
          <w:b/>
          <w:i w:val="0"/>
          <w:color w:val="6B4E00"/>
          <w:sz w:val="19"/>
          <w:shd w:fill="FFF4CC"/>
        </w:rPr>
        <w:t>{{ARTIST_STAGE_NAME}}</w:t>
      </w:r>
      <w:r>
        <w:rPr>
          <w:rFonts w:ascii="Calibri" w:hAnsi="Calibri"/>
          <w:b w:val="0"/>
          <w:i w:val="0"/>
          <w:color w:val="000000"/>
          <w:sz w:val="22"/>
        </w:rPr>
        <w:t xml:space="preserve">, of </w:t>
      </w:r>
      <w:r>
        <w:rPr>
          <w:rFonts w:ascii="Calibri" w:hAnsi="Calibri"/>
          <w:b/>
          <w:i w:val="0"/>
          <w:color w:val="6B4E00"/>
          <w:sz w:val="19"/>
          <w:shd w:fill="FFF4CC"/>
        </w:rPr>
        <w:t>{{ARTIST_ADDRESS}}</w:t>
      </w:r>
      <w:r>
        <w:rPr>
          <w:rFonts w:ascii="Calibri" w:hAnsi="Calibri"/>
          <w:b w:val="0"/>
          <w:i w:val="0"/>
          <w:color w:val="000000"/>
          <w:sz w:val="22"/>
        </w:rPr>
        <w:t xml:space="preserve"> (the "Artist").</w:t>
      </w:r>
    </w:p>
    <w:p>
      <w:pPr>
        <w:keepLines/>
      </w:pPr>
      <w:r>
        <w:rPr>
          <w:rFonts w:ascii="Calibri" w:hAnsi="Calibri"/>
          <w:b w:val="0"/>
          <w:i w:val="0"/>
          <w:color w:val="000000"/>
          <w:sz w:val="22"/>
        </w:rPr>
        <w:t>The Artist is a songwriter, composer, lyricist, publisher or authorised rights-holder controlling the interests in the musical works identified in Schedule 1.</w:t>
      </w:r>
    </w:p>
    <w:p>
      <w:pPr>
        <w:keepLines/>
      </w:pPr>
      <w:r>
        <w:rPr>
          <w:rFonts w:ascii="Calibri" w:hAnsi="Calibri"/>
          <w:b w:val="0"/>
          <w:i w:val="0"/>
          <w:color w:val="000000"/>
          <w:sz w:val="22"/>
        </w:rPr>
        <w:t>The Artist wishes to appoint the Label as publishing administrator for specified rights and territories while retaining copyright ownership, subject to existing CMO and third-party mandates.</w:t>
      </w:r>
    </w:p>
    <w:p>
      <w:r>
        <w:rPr>
          <w:rFonts w:ascii="Calibri" w:hAnsi="Calibri"/>
          <w:b/>
          <w:i w:val="0"/>
          <w:color w:val="000000"/>
          <w:sz w:val="22"/>
        </w:rPr>
        <w:t>The parties therefore agree as follows:</w:t>
      </w:r>
    </w:p>
    <w:p>
      <w:pPr>
        <w:pStyle w:val="Heading1"/>
      </w:pPr>
      <w:r>
        <w:rPr>
          <w:rFonts w:ascii="Calibri" w:hAnsi="Calibri"/>
          <w:b/>
          <w:i w:val="0"/>
          <w:color w:val="2E74B5"/>
          <w:sz w:val="32"/>
        </w:rPr>
        <w:t>1. Definitions and interpretation</w:t>
      </w:r>
    </w:p>
    <w:p>
      <w:pPr>
        <w:keepLines/>
        <w:ind w:left="259" w:hanging="259"/>
      </w:pPr>
      <w:r>
        <w:rPr>
          <w:rFonts w:ascii="Calibri" w:hAnsi="Calibri"/>
          <w:b/>
          <w:i w:val="0"/>
          <w:color w:val="000000"/>
          <w:sz w:val="22"/>
        </w:rPr>
        <w:t xml:space="preserve">Agreement. </w:t>
      </w:r>
      <w:r>
        <w:rPr>
          <w:rFonts w:ascii="Calibri" w:hAnsi="Calibri"/>
          <w:b w:val="0"/>
          <w:i w:val="0"/>
          <w:color w:val="000000"/>
          <w:sz w:val="22"/>
        </w:rPr>
        <w:t>this agreement, its completed schedules and every signed written amendment.</w:t>
      </w:r>
    </w:p>
    <w:p>
      <w:pPr>
        <w:keepLines/>
        <w:ind w:left="259" w:hanging="259"/>
      </w:pPr>
      <w:r>
        <w:rPr>
          <w:rFonts w:ascii="Calibri" w:hAnsi="Calibri"/>
          <w:b/>
          <w:i w:val="0"/>
          <w:color w:val="000000"/>
          <w:sz w:val="22"/>
        </w:rPr>
        <w:t xml:space="preserve">Artist Materials. </w:t>
      </w:r>
      <w:r>
        <w:rPr>
          <w:rFonts w:ascii="Calibri" w:hAnsi="Calibri"/>
          <w:b w:val="0"/>
          <w:i w:val="0"/>
          <w:color w:val="000000"/>
          <w:sz w:val="22"/>
        </w:rPr>
        <w:t>the Artist's approved name, professional name, biography, image, likeness, logos, approved photographs, audio-visual content and other promotional materials supplied for the agreed services.</w:t>
      </w:r>
    </w:p>
    <w:p>
      <w:pPr>
        <w:keepLines/>
        <w:ind w:left="259" w:hanging="259"/>
      </w:pPr>
      <w:r>
        <w:rPr>
          <w:rFonts w:ascii="Calibri" w:hAnsi="Calibri"/>
          <w:b/>
          <w:i w:val="0"/>
          <w:color w:val="000000"/>
          <w:sz w:val="22"/>
        </w:rPr>
        <w:t xml:space="preserve">Net Receipts. </w:t>
      </w:r>
      <w:r>
        <w:rPr>
          <w:rFonts w:ascii="Calibri" w:hAnsi="Calibri"/>
          <w:b w:val="0"/>
          <w:i w:val="0"/>
          <w:color w:val="000000"/>
          <w:sz w:val="22"/>
        </w:rPr>
        <w:t>money actually received and cleared by the receiving party from authorised exploitation, less only the deductions expressly selected in Schedule 2; Net Receipts do not include amounts never received, uncollected taxes or refunded transactions.</w:t>
      </w:r>
    </w:p>
    <w:p>
      <w:pPr>
        <w:keepLines/>
        <w:ind w:left="259" w:hanging="259"/>
      </w:pPr>
      <w:r>
        <w:rPr>
          <w:rFonts w:ascii="Calibri" w:hAnsi="Calibri"/>
          <w:b/>
          <w:i w:val="0"/>
          <w:color w:val="000000"/>
          <w:sz w:val="22"/>
        </w:rPr>
        <w:t xml:space="preserve">Territory. </w:t>
      </w:r>
      <w:r>
        <w:rPr>
          <w:rFonts w:ascii="Calibri" w:hAnsi="Calibri"/>
          <w:b/>
          <w:i w:val="0"/>
          <w:color w:val="6B4E00"/>
          <w:sz w:val="19"/>
          <w:shd w:fill="FFF4CC"/>
        </w:rPr>
        <w:t>{{COMMERCIAL_TERRITORY}}</w:t>
      </w:r>
      <w:r>
        <w:rPr>
          <w:rFonts w:ascii="Calibri" w:hAnsi="Calibri"/>
          <w:b w:val="0"/>
          <w:i w:val="0"/>
          <w:color w:val="000000"/>
          <w:sz w:val="22"/>
        </w:rPr>
        <w:t>.</w:t>
      </w:r>
    </w:p>
    <w:p>
      <w:pPr>
        <w:keepLines/>
        <w:ind w:left="259" w:hanging="259"/>
      </w:pPr>
      <w:r>
        <w:rPr>
          <w:rFonts w:ascii="Calibri" w:hAnsi="Calibri"/>
          <w:b/>
          <w:i w:val="0"/>
          <w:color w:val="000000"/>
          <w:sz w:val="22"/>
        </w:rPr>
        <w:t xml:space="preserve">Administered Interests. </w:t>
      </w:r>
      <w:r>
        <w:rPr>
          <w:rFonts w:ascii="Calibri" w:hAnsi="Calibri"/>
          <w:b w:val="0"/>
          <w:i w:val="0"/>
          <w:color w:val="000000"/>
          <w:sz w:val="22"/>
        </w:rPr>
        <w:t>only the percentage interests in the musical works identified in Schedule 1 and any later works added by signed addendum.</w:t>
      </w:r>
    </w:p>
    <w:p>
      <w:pPr>
        <w:keepLines/>
        <w:ind w:left="259" w:hanging="259"/>
      </w:pPr>
      <w:r>
        <w:rPr>
          <w:rFonts w:ascii="Calibri" w:hAnsi="Calibri"/>
          <w:b/>
          <w:i w:val="0"/>
          <w:color w:val="000000"/>
          <w:sz w:val="22"/>
        </w:rPr>
        <w:t xml:space="preserve">Administrator. </w:t>
      </w:r>
      <w:r>
        <w:rPr>
          <w:rFonts w:ascii="Calibri" w:hAnsi="Calibri"/>
          <w:b w:val="0"/>
          <w:i w:val="0"/>
          <w:color w:val="000000"/>
          <w:sz w:val="22"/>
        </w:rPr>
        <w:t>the Label acting solely in its selected publishing-administration capacity.</w:t>
      </w:r>
    </w:p>
    <w:p>
      <w:pPr>
        <w:keepLines/>
        <w:ind w:left="259" w:hanging="259"/>
      </w:pPr>
      <w:r>
        <w:rPr>
          <w:rFonts w:ascii="Calibri" w:hAnsi="Calibri"/>
          <w:b/>
          <w:i w:val="0"/>
          <w:color w:val="000000"/>
          <w:sz w:val="22"/>
        </w:rPr>
        <w:t xml:space="preserve">CMO. </w:t>
      </w:r>
      <w:r>
        <w:rPr>
          <w:rFonts w:ascii="Calibri" w:hAnsi="Calibri"/>
          <w:b w:val="0"/>
          <w:i w:val="0"/>
          <w:color w:val="000000"/>
          <w:sz w:val="22"/>
        </w:rPr>
        <w:t>a copyright management organisation, performing-rights organisation, mechanical-rights organisation or similar licensing and collection body.</w:t>
      </w:r>
    </w:p>
    <w:p>
      <w:pPr>
        <w:keepLines/>
        <w:ind w:left="259" w:hanging="259"/>
      </w:pPr>
      <w:r>
        <w:rPr>
          <w:rFonts w:ascii="Calibri" w:hAnsi="Calibri"/>
          <w:b/>
          <w:i w:val="0"/>
          <w:color w:val="000000"/>
          <w:sz w:val="22"/>
        </w:rPr>
        <w:t xml:space="preserve">Gross Publishing Receipts. </w:t>
      </w:r>
      <w:r>
        <w:rPr>
          <w:rFonts w:ascii="Calibri" w:hAnsi="Calibri"/>
          <w:b w:val="0"/>
          <w:i w:val="0"/>
          <w:color w:val="000000"/>
          <w:sz w:val="22"/>
        </w:rPr>
        <w:t>publishing income actually received and cleared by the Administrator for the Administered Interests, before the administration commission but after taxes withheld at source and approved third-party collection costs.</w:t>
      </w:r>
    </w:p>
    <w:p>
      <w:pPr>
        <w:keepLines/>
        <w:ind w:left="259" w:hanging="259"/>
      </w:pPr>
      <w:r>
        <w:rPr>
          <w:rFonts w:ascii="Calibri" w:hAnsi="Calibri"/>
          <w:b/>
          <w:i w:val="0"/>
          <w:color w:val="000000"/>
          <w:sz w:val="22"/>
        </w:rPr>
        <w:t xml:space="preserve">Works. </w:t>
      </w:r>
      <w:r>
        <w:rPr>
          <w:rFonts w:ascii="Calibri" w:hAnsi="Calibri"/>
          <w:b w:val="0"/>
          <w:i w:val="0"/>
          <w:color w:val="000000"/>
          <w:sz w:val="22"/>
        </w:rPr>
        <w:t>the musical compositions and lyrics listed in Schedule 1, excluding any sound recording unless separately licensed.</w:t>
      </w:r>
    </w:p>
    <w:p>
      <w:r>
        <w:rPr>
          <w:rFonts w:ascii="Calibri" w:hAnsi="Calibri"/>
          <w:b w:val="0"/>
          <w:i w:val="0"/>
          <w:color w:val="000000"/>
          <w:sz w:val="22"/>
        </w:rPr>
        <w:t>Headings are for convenience only. References to writing include an accessible and retainable electronic record. A Business Day is a day other than Saturday, Sunday or a public holiday observed in Trinidad and Tobago.</w:t>
      </w:r>
    </w:p>
    <w:p>
      <w:pPr>
        <w:pStyle w:val="Heading1"/>
      </w:pPr>
      <w:r>
        <w:rPr>
          <w:rFonts w:ascii="Calibri" w:hAnsi="Calibri"/>
          <w:b/>
          <w:i w:val="0"/>
          <w:color w:val="2E74B5"/>
          <w:sz w:val="32"/>
        </w:rPr>
        <w:t>2. Appointment and ownership</w:t>
      </w:r>
    </w:p>
    <w:p>
      <w:pPr>
        <w:keepLines/>
      </w:pPr>
      <w:r>
        <w:rPr>
          <w:rFonts w:ascii="Calibri" w:hAnsi="Calibri"/>
          <w:b w:val="0"/>
          <w:i w:val="0"/>
          <w:color w:val="000000"/>
          <w:sz w:val="22"/>
        </w:rPr>
        <w:t xml:space="preserve">The Artist appoints the Administrator on a </w:t>
      </w:r>
      <w:r>
        <w:rPr>
          <w:rFonts w:ascii="Calibri" w:hAnsi="Calibri"/>
          <w:b/>
          <w:i w:val="0"/>
          <w:color w:val="6B4E00"/>
          <w:sz w:val="19"/>
          <w:shd w:fill="FFF4CC"/>
        </w:rPr>
        <w:t>{{PUBLISHING_APPOINTMENT_TYPE}}</w:t>
      </w:r>
      <w:r>
        <w:rPr>
          <w:rFonts w:ascii="Calibri" w:hAnsi="Calibri"/>
          <w:b w:val="0"/>
          <w:i w:val="0"/>
          <w:color w:val="000000"/>
          <w:sz w:val="22"/>
        </w:rPr>
        <w:t xml:space="preserve"> basis during the Term in the Territory to perform only the rights and services selected in Schedule 1. Copyright ownership remains with the Artist or stated rights-holder; this is not a transfer of copyright ownership.</w:t>
      </w:r>
    </w:p>
    <w:p>
      <w:pPr>
        <w:keepLines/>
      </w:pPr>
      <w:r>
        <w:rPr>
          <w:rFonts w:ascii="Calibri" w:hAnsi="Calibri"/>
          <w:b w:val="0"/>
          <w:i w:val="0"/>
          <w:color w:val="000000"/>
          <w:sz w:val="22"/>
        </w:rPr>
        <w:t>No share greater than the Artist's verified controlled interest is administered. If a work has co-writers or co-publishers, the Administrator's authority is limited to the Administered Interests unless all owners have separately authorised broader action.</w:t>
      </w:r>
    </w:p>
    <w:p>
      <w:pPr>
        <w:pStyle w:val="Heading1"/>
      </w:pPr>
      <w:r>
        <w:rPr>
          <w:rFonts w:ascii="Calibri" w:hAnsi="Calibri"/>
          <w:b/>
          <w:i w:val="0"/>
          <w:color w:val="2E74B5"/>
          <w:sz w:val="32"/>
        </w:rPr>
        <w:t>3. Administration rights and services</w:t>
      </w:r>
    </w:p>
    <w:p>
      <w:pPr>
        <w:keepLines/>
      </w:pPr>
      <w:r>
        <w:rPr>
          <w:rFonts w:ascii="Calibri" w:hAnsi="Calibri"/>
          <w:b w:val="0"/>
          <w:i w:val="0"/>
          <w:color w:val="000000"/>
          <w:sz w:val="22"/>
        </w:rPr>
        <w:t xml:space="preserve">The Artist grants the Administrator a </w:t>
      </w:r>
      <w:r>
        <w:rPr>
          <w:rFonts w:ascii="Calibri" w:hAnsi="Calibri"/>
          <w:b/>
          <w:i w:val="0"/>
          <w:color w:val="6B4E00"/>
          <w:sz w:val="19"/>
          <w:shd w:fill="FFF4CC"/>
        </w:rPr>
        <w:t>{{PUBLISHING_LICENCE_TYPE}}</w:t>
      </w:r>
      <w:r>
        <w:rPr>
          <w:rFonts w:ascii="Calibri" w:hAnsi="Calibri"/>
          <w:b w:val="0"/>
          <w:i w:val="0"/>
          <w:color w:val="000000"/>
          <w:sz w:val="22"/>
        </w:rPr>
        <w:t xml:space="preserve"> licence and authority, limited to the selected rights, to register Works and shares, issue or facilitate licences, submit cue and metadata information, collect income, investigate unmatched royalties, make claims, communicate with CMOs and licensees, appoint approved sub-administrators and take reasonable non-litigation steps to protect the Administered Interests.</w:t>
      </w:r>
    </w:p>
    <w:p>
      <w:pPr>
        <w:keepLines/>
      </w:pPr>
      <w:r>
        <w:rPr>
          <w:rFonts w:ascii="Calibri" w:hAnsi="Calibri"/>
          <w:b w:val="0"/>
          <w:i w:val="0"/>
          <w:color w:val="000000"/>
          <w:sz w:val="22"/>
        </w:rPr>
        <w:t xml:space="preserve">The selected rights are </w:t>
      </w:r>
      <w:r>
        <w:rPr>
          <w:rFonts w:ascii="Calibri" w:hAnsi="Calibri"/>
          <w:b/>
          <w:i w:val="0"/>
          <w:color w:val="6B4E00"/>
          <w:sz w:val="19"/>
          <w:shd w:fill="FFF4CC"/>
        </w:rPr>
        <w:t>{{SELECTED_PUBLISHING_RIGHTS}}</w:t>
      </w:r>
      <w:r>
        <w:rPr>
          <w:rFonts w:ascii="Calibri" w:hAnsi="Calibri"/>
          <w:b w:val="0"/>
          <w:i w:val="0"/>
          <w:color w:val="000000"/>
          <w:sz w:val="22"/>
        </w:rPr>
        <w:t>. Rights not selected are reserved. Sound recording rights, performer rights, merchandise, touring, brand endorsement and artist-management rights are excluded.</w:t>
      </w:r>
    </w:p>
    <w:p>
      <w:pPr>
        <w:pStyle w:val="Heading1"/>
      </w:pPr>
      <w:r>
        <w:rPr>
          <w:rFonts w:ascii="Calibri" w:hAnsi="Calibri"/>
          <w:b/>
          <w:i w:val="0"/>
          <w:color w:val="2E74B5"/>
          <w:sz w:val="32"/>
        </w:rPr>
        <w:t>4. Existing mandates, direct licences and CMOs</w:t>
      </w:r>
    </w:p>
    <w:p>
      <w:pPr>
        <w:keepLines/>
      </w:pPr>
      <w:r>
        <w:rPr>
          <w:rFonts w:ascii="Calibri" w:hAnsi="Calibri"/>
          <w:b w:val="0"/>
          <w:i w:val="0"/>
          <w:color w:val="000000"/>
          <w:sz w:val="22"/>
        </w:rPr>
        <w:t xml:space="preserve">This Agreement is subject to the Artist's disclosed CMO memberships, publisher agreements, prior grants and direct licences in </w:t>
      </w:r>
      <w:r>
        <w:rPr>
          <w:rFonts w:ascii="Calibri" w:hAnsi="Calibri"/>
          <w:b/>
          <w:i w:val="0"/>
          <w:color w:val="6B4E00"/>
          <w:sz w:val="19"/>
          <w:shd w:fill="FFF4CC"/>
        </w:rPr>
        <w:t>{{EXISTING_PUBLISHING_MANDATES}}</w:t>
      </w:r>
      <w:r>
        <w:rPr>
          <w:rFonts w:ascii="Calibri" w:hAnsi="Calibri"/>
          <w:b w:val="0"/>
          <w:i w:val="0"/>
          <w:color w:val="000000"/>
          <w:sz w:val="22"/>
        </w:rPr>
        <w:t>. The Artist authorises the Administrator to communicate with relevant organisations and file registrations only to the extent permitted by those mandates.</w:t>
      </w:r>
    </w:p>
    <w:p>
      <w:pPr>
        <w:keepLines/>
      </w:pPr>
      <w:r>
        <w:rPr>
          <w:rFonts w:ascii="Calibri" w:hAnsi="Calibri"/>
          <w:b w:val="0"/>
          <w:i w:val="0"/>
          <w:color w:val="000000"/>
          <w:sz w:val="22"/>
        </w:rPr>
        <w:t xml:space="preserve">Direct licensing authority is </w:t>
      </w:r>
      <w:r>
        <w:rPr>
          <w:rFonts w:ascii="Calibri" w:hAnsi="Calibri"/>
          <w:b/>
          <w:i w:val="0"/>
          <w:color w:val="6B4E00"/>
          <w:sz w:val="19"/>
          <w:shd w:fill="FFF4CC"/>
        </w:rPr>
        <w:t>{{DIRECT_LICENSING_RULE}}</w:t>
      </w:r>
      <w:r>
        <w:rPr>
          <w:rFonts w:ascii="Calibri" w:hAnsi="Calibri"/>
          <w:b w:val="0"/>
          <w:i w:val="0"/>
          <w:color w:val="000000"/>
          <w:sz w:val="22"/>
        </w:rPr>
        <w:t>. The Administrator shall not knowingly issue a licence that conflicts with an exclusive CMO mandate or another disclosed agreement. Where consent, withdrawal or amendment of a mandate is needed, the parties shall cooperate but no outcome is guaranteed.</w:t>
      </w:r>
    </w:p>
    <w:p>
      <w:pPr>
        <w:pStyle w:val="Heading1"/>
      </w:pPr>
      <w:r>
        <w:rPr>
          <w:rFonts w:ascii="Calibri" w:hAnsi="Calibri"/>
          <w:b/>
          <w:i w:val="0"/>
          <w:color w:val="2E74B5"/>
          <w:sz w:val="32"/>
        </w:rPr>
        <w:t>5. Registration, metadata and split disputes</w:t>
      </w:r>
    </w:p>
    <w:p>
      <w:pPr>
        <w:keepLines/>
      </w:pPr>
      <w:r>
        <w:rPr>
          <w:rFonts w:ascii="Calibri" w:hAnsi="Calibri"/>
          <w:b w:val="0"/>
          <w:i w:val="0"/>
          <w:color w:val="000000"/>
          <w:sz w:val="22"/>
        </w:rPr>
        <w:t>The Artist shall provide titles, alternate titles, writers' legal names, IPI/CAE numbers, publisher details, shares, ISWC where available, ISRC links, recordings, lyrics and signed split evidence. The Administrator may standardise formatting but shall not knowingly alter agreed ownership shares.</w:t>
      </w:r>
    </w:p>
    <w:p>
      <w:pPr>
        <w:keepLines/>
      </w:pPr>
      <w:r>
        <w:rPr>
          <w:rFonts w:ascii="Calibri" w:hAnsi="Calibri"/>
          <w:b w:val="0"/>
          <w:i w:val="0"/>
          <w:color w:val="000000"/>
          <w:sz w:val="22"/>
        </w:rPr>
        <w:t>If claims exceed one hundred per cent or a credible ownership dispute arises, the Administrator may flag or suspend the disputed registration or withhold only disputed income while seeking written resolution. The Administrator is not required to adjudicate authorship. Undisputed income remains payable.</w:t>
      </w:r>
    </w:p>
    <w:p>
      <w:pPr>
        <w:pStyle w:val="Heading1"/>
      </w:pPr>
      <w:r>
        <w:rPr>
          <w:rFonts w:ascii="Calibri" w:hAnsi="Calibri"/>
          <w:b/>
          <w:i w:val="0"/>
          <w:color w:val="2E74B5"/>
          <w:sz w:val="32"/>
        </w:rPr>
        <w:t>6. Licensing and approvals</w:t>
      </w:r>
    </w:p>
    <w:p>
      <w:pPr>
        <w:keepLines/>
      </w:pPr>
      <w:r>
        <w:rPr>
          <w:rFonts w:ascii="Calibri" w:hAnsi="Calibri"/>
          <w:b w:val="0"/>
          <w:i w:val="0"/>
          <w:color w:val="000000"/>
          <w:sz w:val="22"/>
        </w:rPr>
        <w:t xml:space="preserve">Synchronisation and other material licences require </w:t>
      </w:r>
      <w:r>
        <w:rPr>
          <w:rFonts w:ascii="Calibri" w:hAnsi="Calibri"/>
          <w:b/>
          <w:i w:val="0"/>
          <w:color w:val="6B4E00"/>
          <w:sz w:val="19"/>
          <w:shd w:fill="FFF4CC"/>
        </w:rPr>
        <w:t>{{PUBLISHING_APPROVAL_RULE}}</w:t>
      </w:r>
      <w:r>
        <w:rPr>
          <w:rFonts w:ascii="Calibri" w:hAnsi="Calibri"/>
          <w:b w:val="0"/>
          <w:i w:val="0"/>
          <w:color w:val="000000"/>
          <w:sz w:val="22"/>
        </w:rPr>
        <w:t>. A licence involving political advertising, sensitive products, material lyric alteration, title change, sample, adaptation or dramatic use always requires express written approval unless a more protective rule is selected.</w:t>
      </w:r>
    </w:p>
    <w:p>
      <w:pPr>
        <w:keepLines/>
      </w:pPr>
      <w:r>
        <w:rPr>
          <w:rFonts w:ascii="Calibri" w:hAnsi="Calibri"/>
          <w:b w:val="0"/>
          <w:i w:val="0"/>
          <w:color w:val="000000"/>
          <w:sz w:val="22"/>
        </w:rPr>
        <w:t>The Artist retains moral rights. No lyric, melody or material work alteration is authorised merely by this Agreement. Routine metadata corrections, excerpts for licence pitching and format conversion are permitted if they do not distort the Work or prejudice the author's honour or reputation.</w:t>
      </w:r>
    </w:p>
    <w:p>
      <w:pPr>
        <w:pStyle w:val="Heading1"/>
      </w:pPr>
      <w:r>
        <w:rPr>
          <w:rFonts w:ascii="Calibri" w:hAnsi="Calibri"/>
          <w:b/>
          <w:i w:val="0"/>
          <w:color w:val="2E74B5"/>
          <w:sz w:val="32"/>
        </w:rPr>
        <w:t>7. Sub-administration and foreign collection</w:t>
      </w:r>
    </w:p>
    <w:p>
      <w:pPr>
        <w:keepLines/>
      </w:pPr>
      <w:r>
        <w:rPr>
          <w:rFonts w:ascii="Calibri" w:hAnsi="Calibri"/>
          <w:b w:val="0"/>
          <w:i w:val="0"/>
          <w:color w:val="000000"/>
          <w:sz w:val="22"/>
        </w:rPr>
        <w:t xml:space="preserve">The Administrator may appoint reputable sub-administrators only for </w:t>
      </w:r>
      <w:r>
        <w:rPr>
          <w:rFonts w:ascii="Calibri" w:hAnsi="Calibri"/>
          <w:b/>
          <w:i w:val="0"/>
          <w:color w:val="6B4E00"/>
          <w:sz w:val="19"/>
          <w:shd w:fill="FFF4CC"/>
        </w:rPr>
        <w:t>{{SUBADMINISTRATION_SCOPE}}</w:t>
      </w:r>
      <w:r>
        <w:rPr>
          <w:rFonts w:ascii="Calibri" w:hAnsi="Calibri"/>
          <w:b w:val="0"/>
          <w:i w:val="0"/>
          <w:color w:val="000000"/>
          <w:sz w:val="22"/>
        </w:rPr>
        <w:t xml:space="preserve"> and shall remain responsible for accounting to the Artist. Sub-administrator fees are deductible only as stated in Schedule 2 and shall not be duplicated through an undisclosed additional mark-up.</w:t>
      </w:r>
    </w:p>
    <w:p>
      <w:pPr>
        <w:keepLines/>
      </w:pPr>
      <w:r>
        <w:rPr>
          <w:rFonts w:ascii="Calibri" w:hAnsi="Calibri"/>
          <w:b w:val="0"/>
          <w:i w:val="0"/>
          <w:color w:val="000000"/>
          <w:sz w:val="22"/>
        </w:rPr>
        <w:t>Foreign collections may be subject to local society rules, withholding taxes, exchange rates, source deductions, black-box allocation rules and reporting delay. The Administrator shall provide available source detail but does not guarantee collection from every territory or user.</w:t>
      </w:r>
    </w:p>
    <w:p>
      <w:pPr>
        <w:pStyle w:val="Heading1"/>
      </w:pPr>
      <w:r>
        <w:rPr>
          <w:rFonts w:ascii="Calibri" w:hAnsi="Calibri"/>
          <w:b/>
          <w:i w:val="0"/>
          <w:color w:val="2E74B5"/>
          <w:sz w:val="32"/>
        </w:rPr>
        <w:t>8. Commission, accounting and reserves</w:t>
      </w:r>
    </w:p>
    <w:p>
      <w:pPr>
        <w:keepLines/>
      </w:pPr>
      <w:r>
        <w:rPr>
          <w:rFonts w:ascii="Calibri" w:hAnsi="Calibri"/>
          <w:b w:val="0"/>
          <w:i w:val="0"/>
          <w:color w:val="000000"/>
          <w:sz w:val="22"/>
        </w:rPr>
        <w:t xml:space="preserve">The Administrator shall retain </w:t>
      </w:r>
      <w:r>
        <w:rPr>
          <w:rFonts w:ascii="Calibri" w:hAnsi="Calibri"/>
          <w:b/>
          <w:i w:val="0"/>
          <w:color w:val="6B4E00"/>
          <w:sz w:val="19"/>
          <w:shd w:fill="FFF4CC"/>
        </w:rPr>
        <w:t>{{PUBLISHING_ADMIN_COMMISSION}}</w:t>
      </w:r>
      <w:r>
        <w:rPr>
          <w:rFonts w:ascii="Calibri" w:hAnsi="Calibri"/>
          <w:b w:val="0"/>
          <w:i w:val="0"/>
          <w:color w:val="000000"/>
          <w:sz w:val="22"/>
        </w:rPr>
        <w:t xml:space="preserve"> of </w:t>
      </w:r>
      <w:r>
        <w:rPr>
          <w:rFonts w:ascii="Calibri" w:hAnsi="Calibri"/>
          <w:b/>
          <w:i w:val="0"/>
          <w:color w:val="6B4E00"/>
          <w:sz w:val="19"/>
          <w:shd w:fill="FFF4CC"/>
        </w:rPr>
        <w:t>{{PUBLISHING_COMMISSION_BASE}}</w:t>
      </w:r>
      <w:r>
        <w:rPr>
          <w:rFonts w:ascii="Calibri" w:hAnsi="Calibri"/>
          <w:b w:val="0"/>
          <w:i w:val="0"/>
          <w:color w:val="000000"/>
          <w:sz w:val="22"/>
        </w:rPr>
        <w:t xml:space="preserve"> and pay the Artist the balance. Permitted third-party deductions are </w:t>
      </w:r>
      <w:r>
        <w:rPr>
          <w:rFonts w:ascii="Calibri" w:hAnsi="Calibri"/>
          <w:b/>
          <w:i w:val="0"/>
          <w:color w:val="6B4E00"/>
          <w:sz w:val="19"/>
          <w:shd w:fill="FFF4CC"/>
        </w:rPr>
        <w:t>{{PUBLISHING_PERMITTED_DEDUCTIONS}}</w:t>
      </w:r>
      <w:r>
        <w:rPr>
          <w:rFonts w:ascii="Calibri" w:hAnsi="Calibri"/>
          <w:b w:val="0"/>
          <w:i w:val="0"/>
          <w:color w:val="000000"/>
          <w:sz w:val="22"/>
        </w:rPr>
        <w:t>. No general overhead or unrelated cost is deductible.</w:t>
      </w:r>
    </w:p>
    <w:p>
      <w:pPr>
        <w:keepLines/>
      </w:pPr>
      <w:r>
        <w:rPr>
          <w:rFonts w:ascii="Calibri" w:hAnsi="Calibri"/>
          <w:b w:val="0"/>
          <w:i w:val="0"/>
          <w:color w:val="000000"/>
          <w:sz w:val="22"/>
        </w:rPr>
        <w:t>A reserve may be held only for a specific, reasonably anticipated refund, ownership dispute or source correction, shall be identified on the statement, and shall be reviewed at least each accounting period. Undisputed income shall not be reserved because another work is disputed.</w:t>
      </w:r>
    </w:p>
    <w:p>
      <w:pPr>
        <w:pStyle w:val="Heading1"/>
      </w:pPr>
      <w:r>
        <w:rPr>
          <w:rFonts w:ascii="Calibri" w:hAnsi="Calibri"/>
          <w:b/>
          <w:i w:val="0"/>
          <w:color w:val="2E74B5"/>
          <w:sz w:val="32"/>
        </w:rPr>
        <w:t>9. Limited authority and enforcement</w:t>
      </w:r>
    </w:p>
    <w:p>
      <w:pPr>
        <w:keepLines/>
      </w:pPr>
      <w:r>
        <w:rPr>
          <w:rFonts w:ascii="Calibri" w:hAnsi="Calibri"/>
          <w:b w:val="0"/>
          <w:i w:val="0"/>
          <w:color w:val="000000"/>
          <w:sz w:val="22"/>
        </w:rPr>
        <w:t>The Artist grants the Administrator the limited agency authority necessary to sign routine registrations, collection claims and licences within the selected approval rules, but not to transfer copyright ownership, settle an infringement claim, commence litigation, borrow, create a security interest or bind the Artist to unrelated obligations without separate written authority.</w:t>
      </w:r>
    </w:p>
    <w:p>
      <w:pPr>
        <w:keepLines/>
      </w:pPr>
      <w:r>
        <w:rPr>
          <w:rFonts w:ascii="Calibri" w:hAnsi="Calibri"/>
          <w:b w:val="0"/>
          <w:i w:val="0"/>
          <w:color w:val="000000"/>
          <w:sz w:val="22"/>
        </w:rPr>
        <w:t>Enforcement action beyond routine claims requires a written plan allocating control, legal fees, settlement authority and recoveries. Neither party shall commence proceedings in the other's name without express written authorisation and legal advice.</w:t>
      </w:r>
    </w:p>
    <w:p>
      <w:pPr>
        <w:pStyle w:val="Heading1"/>
      </w:pPr>
      <w:r>
        <w:rPr>
          <w:rFonts w:ascii="Calibri" w:hAnsi="Calibri"/>
          <w:b/>
          <w:i w:val="0"/>
          <w:color w:val="2E74B5"/>
          <w:sz w:val="32"/>
        </w:rPr>
        <w:t>10. End of administration term</w:t>
      </w:r>
    </w:p>
    <w:p>
      <w:pPr>
        <w:keepLines/>
      </w:pPr>
      <w:r>
        <w:rPr>
          <w:rFonts w:ascii="Calibri" w:hAnsi="Calibri"/>
          <w:b w:val="0"/>
          <w:i w:val="0"/>
          <w:color w:val="000000"/>
          <w:sz w:val="22"/>
        </w:rPr>
        <w:t xml:space="preserve">After the Term, the Administrator shall cease new licensing and registration activity, subject to approved licences, CMO processing and </w:t>
      </w:r>
      <w:r>
        <w:rPr>
          <w:rFonts w:ascii="Calibri" w:hAnsi="Calibri"/>
          <w:b/>
          <w:i w:val="0"/>
          <w:color w:val="6B4E00"/>
          <w:sz w:val="19"/>
          <w:shd w:fill="FFF4CC"/>
        </w:rPr>
        <w:t>{{POST_TERM_COLLECTION_PERIOD}}</w:t>
      </w:r>
      <w:r>
        <w:rPr>
          <w:rFonts w:ascii="Calibri" w:hAnsi="Calibri"/>
          <w:b w:val="0"/>
          <w:i w:val="0"/>
          <w:color w:val="000000"/>
          <w:sz w:val="22"/>
        </w:rPr>
        <w:t xml:space="preserve"> for receipts attributable to the Term. The Administrator shall cooperate in transferring catalogue data and provide a final catalogue status report.</w:t>
      </w:r>
    </w:p>
    <w:p>
      <w:pPr>
        <w:keepLines/>
      </w:pPr>
      <w:r>
        <w:rPr>
          <w:rFonts w:ascii="Calibri" w:hAnsi="Calibri"/>
          <w:b w:val="0"/>
          <w:i w:val="0"/>
          <w:color w:val="000000"/>
          <w:sz w:val="22"/>
        </w:rPr>
        <w:t>Licences validly granted during the Term continue for their stated duration. The Administrator's commission remains payable only on receipts covered by the agreed post-term collection rule, not on new post-term uses it had no authority to license.</w:t>
      </w:r>
    </w:p>
    <w:p>
      <w:pPr>
        <w:pStyle w:val="Heading1"/>
      </w:pPr>
      <w:r>
        <w:rPr>
          <w:rFonts w:ascii="Calibri" w:hAnsi="Calibri"/>
          <w:b/>
          <w:i w:val="0"/>
          <w:color w:val="2E74B5"/>
          <w:sz w:val="32"/>
        </w:rPr>
        <w:t>11. Statements, records and audit</w:t>
      </w:r>
    </w:p>
    <w:p>
      <w:pPr>
        <w:keepLines/>
      </w:pPr>
      <w:r>
        <w:rPr>
          <w:rFonts w:ascii="Calibri" w:hAnsi="Calibri"/>
          <w:b w:val="0"/>
          <w:i w:val="0"/>
          <w:color w:val="000000"/>
          <w:sz w:val="22"/>
        </w:rPr>
        <w:t>The Administrator shall provide statements {STATEMENT_FREQUENCY} and pay undisputed sums within {PAYMENT_DAYS} Business Days after the statement date, subject to the minimum payout threshold of {MINIMUM_PAYOUT}. Amounts below the threshold carry forward without forfeiture.</w:t>
      </w:r>
    </w:p>
    <w:p>
      <w:pPr>
        <w:keepLines/>
      </w:pPr>
      <w:r>
        <w:rPr>
          <w:rFonts w:ascii="Calibri" w:hAnsi="Calibri"/>
          <w:b w:val="0"/>
          <w:i w:val="0"/>
          <w:color w:val="000000"/>
          <w:sz w:val="22"/>
        </w:rPr>
        <w:t>Each party shall keep complete records relevant to money payable under this Agreement for at least six years after the relevant statement. Once in any twelve-month period, the Artist may appoint an independent accountant, bound by confidentiality, to inspect relevant records on at least fifteen Business Days' notice. The audit shall occur during normal business hours, at the Artist's cost, unless an underpayment exceeding five per cent is found, in which case the reasonable audit cost shall be reimbursed by the Label.</w:t>
      </w:r>
    </w:p>
    <w:p>
      <w:pPr>
        <w:pStyle w:val="Heading1"/>
      </w:pPr>
      <w:r>
        <w:rPr>
          <w:rFonts w:ascii="Calibri" w:hAnsi="Calibri"/>
          <w:b/>
          <w:i w:val="0"/>
          <w:color w:val="2E74B5"/>
          <w:sz w:val="32"/>
        </w:rPr>
        <w:t>12. Taxes</w:t>
      </w:r>
    </w:p>
    <w:p>
      <w:pPr>
        <w:keepLines/>
      </w:pPr>
      <w:r>
        <w:rPr>
          <w:rFonts w:ascii="Calibri" w:hAnsi="Calibri"/>
          <w:b w:val="0"/>
          <w:i w:val="0"/>
          <w:color w:val="000000"/>
          <w:sz w:val="22"/>
        </w:rPr>
        <w:t xml:space="preserve">Amounts stated are </w:t>
      </w:r>
      <w:r>
        <w:rPr>
          <w:rFonts w:ascii="Calibri" w:hAnsi="Calibri"/>
          <w:b/>
          <w:i w:val="0"/>
          <w:color w:val="6B4E00"/>
          <w:sz w:val="19"/>
          <w:shd w:fill="FFF4CC"/>
        </w:rPr>
        <w:t>{{VAT_TREATMENT}}</w:t>
      </w:r>
      <w:r>
        <w:rPr>
          <w:rFonts w:ascii="Calibri" w:hAnsi="Calibri"/>
          <w:b w:val="0"/>
          <w:i w:val="0"/>
          <w:color w:val="000000"/>
          <w:sz w:val="22"/>
        </w:rPr>
        <w:t>. Each party is responsible for its own taxes and statutory obligations. A payer may make a deduction required by Trinidad and Tobago law, but shall provide the payee with the available certificate or evidence of the deduction. No party shall represent that it gives tax advice.</w:t>
      </w:r>
    </w:p>
    <w:p>
      <w:pPr>
        <w:pStyle w:val="Heading1"/>
      </w:pPr>
      <w:r>
        <w:rPr>
          <w:rFonts w:ascii="Calibri" w:hAnsi="Calibri"/>
          <w:b/>
          <w:i w:val="0"/>
          <w:color w:val="2E74B5"/>
          <w:sz w:val="32"/>
        </w:rPr>
        <w:t>13. Confidentiality, privacy and security</w:t>
      </w:r>
    </w:p>
    <w:p>
      <w:pPr>
        <w:keepLines/>
      </w:pPr>
      <w:r>
        <w:rPr>
          <w:rFonts w:ascii="Calibri" w:hAnsi="Calibri"/>
          <w:b w:val="0"/>
          <w:i w:val="0"/>
          <w:color w:val="000000"/>
          <w:sz w:val="22"/>
        </w:rPr>
        <w:t>Each party shall keep confidential non-public business, creative, contractual, financial, account, login and personal information received from the other and use it only to perform this Agreement. Disclosure is permitted to professional advisers, distributors, platforms, collection societies, subcontractors and authorities only where reasonably necessary and subject to appropriate confidentiality duties or law.</w:t>
      </w:r>
    </w:p>
    <w:p>
      <w:pPr>
        <w:keepLines/>
      </w:pPr>
      <w:r>
        <w:rPr>
          <w:rFonts w:ascii="Calibri" w:hAnsi="Calibri"/>
          <w:b w:val="0"/>
          <w:i w:val="0"/>
          <w:color w:val="000000"/>
          <w:sz w:val="22"/>
        </w:rPr>
        <w:t>Each party shall use reasonable administrative, technical and physical safeguards for personal information and comply with applicable provisions of the Data Protection Act, Chap. 22:04, and other applicable privacy obligations. A party becoming aware of material unauthorised access affecting the other party's information shall notify the other without unreasonable delay and cooperate in reasonable mitigation.</w:t>
      </w:r>
    </w:p>
    <w:p>
      <w:pPr>
        <w:pStyle w:val="Heading1"/>
      </w:pPr>
      <w:r>
        <w:rPr>
          <w:rFonts w:ascii="Calibri" w:hAnsi="Calibri"/>
          <w:b/>
          <w:i w:val="0"/>
          <w:color w:val="2E74B5"/>
          <w:sz w:val="32"/>
        </w:rPr>
        <w:t>14. Representations and warranties</w:t>
      </w:r>
    </w:p>
    <w:p>
      <w:pPr>
        <w:keepLines/>
      </w:pPr>
      <w:r>
        <w:rPr>
          <w:rFonts w:ascii="Calibri" w:hAnsi="Calibri"/>
          <w:b w:val="0"/>
          <w:i w:val="0"/>
          <w:color w:val="000000"/>
          <w:sz w:val="22"/>
        </w:rPr>
        <w:t>Each party represents that it has legal capacity and authority to enter into and perform this Agreement, and that doing so does not knowingly breach another binding agreement. The Artist represents that Artist-controlled materials supplied under this Agreement are original or properly cleared and that all contributor, producer, featured-artist, sample, artwork and other permissions for which the Artist is responsible have been obtained in writing.</w:t>
      </w:r>
    </w:p>
    <w:p>
      <w:pPr>
        <w:keepLines/>
      </w:pPr>
      <w:r>
        <w:rPr>
          <w:rFonts w:ascii="Calibri" w:hAnsi="Calibri"/>
          <w:b w:val="0"/>
          <w:i w:val="0"/>
          <w:color w:val="000000"/>
          <w:sz w:val="22"/>
        </w:rPr>
        <w:t>The Label represents that it will perform its services with reasonable care and skill, will not knowingly exploit rights outside the agreed grant, and will not knowingly enter into a material licence of the Artist's rights where the completed schedules require the Artist's prior written approval.</w:t>
      </w:r>
    </w:p>
    <w:p>
      <w:pPr>
        <w:pStyle w:val="Heading1"/>
      </w:pPr>
      <w:r>
        <w:rPr>
          <w:rFonts w:ascii="Calibri" w:hAnsi="Calibri"/>
          <w:b/>
          <w:i w:val="0"/>
          <w:color w:val="2E74B5"/>
          <w:sz w:val="32"/>
        </w:rPr>
        <w:t>15. Indemnity and liability</w:t>
      </w:r>
    </w:p>
    <w:p>
      <w:pPr>
        <w:keepLines/>
      </w:pPr>
      <w:r>
        <w:rPr>
          <w:rFonts w:ascii="Calibri" w:hAnsi="Calibri"/>
          <w:b w:val="0"/>
          <w:i w:val="0"/>
          <w:color w:val="000000"/>
          <w:sz w:val="22"/>
        </w:rPr>
        <w:t>Each party shall indemnify the other against a finally determined or reasonably settled third-party claim arising directly from the indemnifying party's material breach of its representations, warranties or confidentiality obligations, provided the indemnified party gives prompt notice, reasonable cooperation and control of the defence, and does not settle the claim without consent that is not unreasonably withheld.</w:t>
      </w:r>
    </w:p>
    <w:p>
      <w:pPr>
        <w:keepLines/>
      </w:pPr>
      <w:r>
        <w:rPr>
          <w:rFonts w:ascii="Calibri" w:hAnsi="Calibri"/>
          <w:b w:val="0"/>
          <w:i w:val="0"/>
          <w:color w:val="000000"/>
          <w:sz w:val="22"/>
        </w:rPr>
        <w:t xml:space="preserve">Except for payment obligations, fraud, wilful misconduct, infringement or unauthorised exploitation of intellectual property, breach of confidentiality, or liability that cannot lawfully be limited, neither party is liable to the other for indirect or consequential loss. For all other claims, each party's aggregate liability is limited to </w:t>
      </w:r>
      <w:r>
        <w:rPr>
          <w:rFonts w:ascii="Calibri" w:hAnsi="Calibri"/>
          <w:b/>
          <w:i w:val="0"/>
          <w:color w:val="6B4E00"/>
          <w:sz w:val="19"/>
          <w:shd w:fill="FFF4CC"/>
        </w:rPr>
        <w:t>{{LIABILITY_CAP}}</w:t>
      </w:r>
      <w:r>
        <w:rPr>
          <w:rFonts w:ascii="Calibri" w:hAnsi="Calibri"/>
          <w:b w:val="0"/>
          <w:i w:val="0"/>
          <w:color w:val="000000"/>
          <w:sz w:val="22"/>
        </w:rPr>
        <w:t>, to the extent permitted by law.</w:t>
      </w:r>
    </w:p>
    <w:p>
      <w:pPr>
        <w:pStyle w:val="Heading1"/>
      </w:pPr>
      <w:r>
        <w:rPr>
          <w:rFonts w:ascii="Calibri" w:hAnsi="Calibri"/>
          <w:b/>
          <w:i w:val="0"/>
          <w:color w:val="2E74B5"/>
          <w:sz w:val="32"/>
        </w:rPr>
        <w:t>16. Term, breach and termination</w:t>
      </w:r>
    </w:p>
    <w:p>
      <w:pPr>
        <w:keepLines/>
      </w:pPr>
      <w:r>
        <w:rPr>
          <w:rFonts w:ascii="Calibri" w:hAnsi="Calibri"/>
          <w:b w:val="0"/>
          <w:i w:val="0"/>
          <w:color w:val="000000"/>
          <w:sz w:val="22"/>
        </w:rPr>
        <w:t xml:space="preserve">This Agreement begins on </w:t>
      </w:r>
      <w:r>
        <w:rPr>
          <w:rFonts w:ascii="Calibri" w:hAnsi="Calibri"/>
          <w:b/>
          <w:i w:val="0"/>
          <w:color w:val="6B4E00"/>
          <w:sz w:val="19"/>
          <w:shd w:fill="FFF4CC"/>
        </w:rPr>
        <w:t>{{TERM_START_DATE}}</w:t>
      </w:r>
      <w:r>
        <w:rPr>
          <w:rFonts w:ascii="Calibri" w:hAnsi="Calibri"/>
          <w:b w:val="0"/>
          <w:i w:val="0"/>
          <w:color w:val="000000"/>
          <w:sz w:val="22"/>
        </w:rPr>
        <w:t xml:space="preserve"> and continues for </w:t>
      </w:r>
      <w:r>
        <w:rPr>
          <w:rFonts w:ascii="Calibri" w:hAnsi="Calibri"/>
          <w:b/>
          <w:i w:val="0"/>
          <w:color w:val="6B4E00"/>
          <w:sz w:val="19"/>
          <w:shd w:fill="FFF4CC"/>
        </w:rPr>
        <w:t>{{INITIAL_TERM}}</w:t>
      </w:r>
      <w:r>
        <w:rPr>
          <w:rFonts w:ascii="Calibri" w:hAnsi="Calibri"/>
          <w:b w:val="0"/>
          <w:i w:val="0"/>
          <w:color w:val="000000"/>
          <w:sz w:val="22"/>
        </w:rPr>
        <w:t xml:space="preserve">, subject to </w:t>
      </w:r>
      <w:r>
        <w:rPr>
          <w:rFonts w:ascii="Calibri" w:hAnsi="Calibri"/>
          <w:b/>
          <w:i w:val="0"/>
          <w:color w:val="6B4E00"/>
          <w:sz w:val="19"/>
          <w:shd w:fill="FFF4CC"/>
        </w:rPr>
        <w:t>{{RENEWAL_TERMS}}</w:t>
      </w:r>
      <w:r>
        <w:rPr>
          <w:rFonts w:ascii="Calibri" w:hAnsi="Calibri"/>
          <w:b w:val="0"/>
          <w:i w:val="0"/>
          <w:color w:val="000000"/>
          <w:sz w:val="22"/>
        </w:rPr>
        <w:t xml:space="preserve">. A party may terminate for a material breach not cured within </w:t>
      </w:r>
      <w:r>
        <w:rPr>
          <w:rFonts w:ascii="Calibri" w:hAnsi="Calibri"/>
          <w:b/>
          <w:i w:val="0"/>
          <w:color w:val="6B4E00"/>
          <w:sz w:val="19"/>
          <w:shd w:fill="FFF4CC"/>
        </w:rPr>
        <w:t>{{CURE_PERIOD_DAYS}}</w:t>
      </w:r>
      <w:r>
        <w:rPr>
          <w:rFonts w:ascii="Calibri" w:hAnsi="Calibri"/>
          <w:b w:val="0"/>
          <w:i w:val="0"/>
          <w:color w:val="000000"/>
          <w:sz w:val="22"/>
        </w:rPr>
        <w:t xml:space="preserve"> days after detailed written notice. A party may terminate immediately for fraud, deliberate rights infringement, insolvency where termination is legally permitted, or serious conduct that makes continued performance unlawful.</w:t>
      </w:r>
    </w:p>
    <w:p>
      <w:pPr>
        <w:keepLines/>
      </w:pPr>
      <w:r>
        <w:rPr>
          <w:rFonts w:ascii="Calibri" w:hAnsi="Calibri"/>
          <w:b w:val="0"/>
          <w:i w:val="0"/>
          <w:color w:val="000000"/>
          <w:sz w:val="22"/>
        </w:rPr>
        <w:t xml:space="preserve">Termination does not erase accrued rights, approved costs, payment obligations or licences already granted to third parties within the agreed authority. The Label shall cease new exploitation after the applicable wind-down period, request takedowns where required, provide a final statement, return or securely delete access credentials not required by law, and remit later receipts during </w:t>
      </w:r>
      <w:r>
        <w:rPr>
          <w:rFonts w:ascii="Calibri" w:hAnsi="Calibri"/>
          <w:b/>
          <w:i w:val="0"/>
          <w:color w:val="6B4E00"/>
          <w:sz w:val="19"/>
          <w:shd w:fill="FFF4CC"/>
        </w:rPr>
        <w:t>{{POST_TERM_COLLECTION_PERIOD}}</w:t>
      </w:r>
      <w:r>
        <w:rPr>
          <w:rFonts w:ascii="Calibri" w:hAnsi="Calibri"/>
          <w:b w:val="0"/>
          <w:i w:val="0"/>
          <w:color w:val="000000"/>
          <w:sz w:val="22"/>
        </w:rPr>
        <w:t>.</w:t>
      </w:r>
    </w:p>
    <w:p>
      <w:pPr>
        <w:pStyle w:val="Heading1"/>
      </w:pPr>
      <w:r>
        <w:rPr>
          <w:rFonts w:ascii="Calibri" w:hAnsi="Calibri"/>
          <w:b/>
          <w:i w:val="0"/>
          <w:color w:val="2E74B5"/>
          <w:sz w:val="32"/>
        </w:rPr>
        <w:t>17. Disputes and governing law</w:t>
      </w:r>
    </w:p>
    <w:p>
      <w:pPr>
        <w:keepLines/>
      </w:pPr>
      <w:r>
        <w:rPr>
          <w:rFonts w:ascii="Calibri" w:hAnsi="Calibri"/>
          <w:b w:val="0"/>
          <w:i w:val="0"/>
          <w:color w:val="000000"/>
          <w:sz w:val="22"/>
        </w:rPr>
        <w:t>The parties shall first attempt in good faith to resolve a dispute through authorised representatives within fourteen days after written notice. If unresolved, they shall attempt mediation in Trinidad and Tobago before commencing a final proceeding, unless urgent injunctive relief is reasonably required to protect rights or confidential information.</w:t>
      </w:r>
    </w:p>
    <w:p>
      <w:pPr>
        <w:keepLines/>
      </w:pPr>
      <w:r>
        <w:rPr>
          <w:rFonts w:ascii="Calibri" w:hAnsi="Calibri"/>
          <w:b/>
          <w:i w:val="0"/>
          <w:color w:val="6B4E00"/>
          <w:sz w:val="19"/>
          <w:shd w:fill="FFF4CC"/>
        </w:rPr>
        <w:t>{{DISPUTE_RESOLUTION_CLAUSE}}</w:t>
      </w:r>
    </w:p>
    <w:p>
      <w:pPr>
        <w:keepLines/>
      </w:pPr>
      <w:r>
        <w:rPr>
          <w:rFonts w:ascii="Calibri" w:hAnsi="Calibri"/>
          <w:b w:val="0"/>
          <w:i w:val="0"/>
          <w:color w:val="000000"/>
          <w:sz w:val="22"/>
        </w:rPr>
        <w:t>This Agreement and all non-contractual obligations connected with it are governed by the laws of the Republic of Trinidad and Tobago.</w:t>
      </w:r>
    </w:p>
    <w:p>
      <w:pPr>
        <w:pStyle w:val="Heading1"/>
      </w:pPr>
      <w:r>
        <w:rPr>
          <w:rFonts w:ascii="Calibri" w:hAnsi="Calibri"/>
          <w:b/>
          <w:i w:val="0"/>
          <w:color w:val="2E74B5"/>
          <w:sz w:val="32"/>
        </w:rPr>
        <w:t>18. Electronic records, notices and general terms</w:t>
      </w:r>
    </w:p>
    <w:p>
      <w:pPr>
        <w:keepLines/>
      </w:pPr>
      <w:r>
        <w:rPr>
          <w:rFonts w:ascii="Calibri" w:hAnsi="Calibri"/>
          <w:b w:val="0"/>
          <w:i w:val="0"/>
          <w:color w:val="000000"/>
          <w:sz w:val="22"/>
        </w:rPr>
        <w:t xml:space="preserve">The parties agree to use electronic records and reliable electronic signatures in accordance with the Electronic Transactions Act, Chap. 22:05. Counterparts form one agreement. Notices shall be sent to </w:t>
      </w:r>
      <w:r>
        <w:rPr>
          <w:rFonts w:ascii="Calibri" w:hAnsi="Calibri"/>
          <w:b/>
          <w:i w:val="0"/>
          <w:color w:val="6B4E00"/>
          <w:sz w:val="19"/>
          <w:shd w:fill="FFF4CC"/>
        </w:rPr>
        <w:t>{{LABEL_NOTICE_EMAIL}}</w:t>
      </w:r>
      <w:r>
        <w:rPr>
          <w:rFonts w:ascii="Calibri" w:hAnsi="Calibri"/>
          <w:b w:val="0"/>
          <w:i w:val="0"/>
          <w:color w:val="000000"/>
          <w:sz w:val="22"/>
        </w:rPr>
        <w:t xml:space="preserve"> for the Label and </w:t>
      </w:r>
      <w:r>
        <w:rPr>
          <w:rFonts w:ascii="Calibri" w:hAnsi="Calibri"/>
          <w:b/>
          <w:i w:val="0"/>
          <w:color w:val="6B4E00"/>
          <w:sz w:val="19"/>
          <w:shd w:fill="FFF4CC"/>
        </w:rPr>
        <w:t>{{ARTIST_NOTICE_EMAIL}}</w:t>
      </w:r>
      <w:r>
        <w:rPr>
          <w:rFonts w:ascii="Calibri" w:hAnsi="Calibri"/>
          <w:b w:val="0"/>
          <w:i w:val="0"/>
          <w:color w:val="000000"/>
          <w:sz w:val="22"/>
        </w:rPr>
        <w:t xml:space="preserve"> for the Artist, with a copy by hand, courier or registered post to the stated address for a notice of material breach or termination unless receipt is electronically acknowledged.</w:t>
      </w:r>
    </w:p>
    <w:p>
      <w:pPr>
        <w:keepLines/>
      </w:pPr>
      <w:r>
        <w:rPr>
          <w:rFonts w:ascii="Calibri" w:hAnsi="Calibri"/>
          <w:b w:val="0"/>
          <w:i w:val="0"/>
          <w:color w:val="000000"/>
          <w:sz w:val="22"/>
        </w:rPr>
        <w:t>Neither party may assign this Agreement except with the other's prior written consent, not unreasonably withheld, other than to a successor acquiring substantially all of the assigning party's relevant business and assuming the obligations in writing. The Label remains responsible for approved subcontractors. The parties are independent contractors; nothing creates employment, partnership, fiduciary relationship or authority to bind the other unless expressly stated.</w:t>
      </w:r>
    </w:p>
    <w:p>
      <w:pPr>
        <w:keepLines/>
      </w:pPr>
      <w:r>
        <w:rPr>
          <w:rFonts w:ascii="Calibri" w:hAnsi="Calibri"/>
          <w:b w:val="0"/>
          <w:i w:val="0"/>
          <w:color w:val="000000"/>
          <w:sz w:val="22"/>
        </w:rPr>
        <w:t>This Agreement and its schedules contain the entire agreement on their subject matter. A variation must be in writing and signed by both parties. Failure to enforce a provision is not a waiver. If a provision is invalid or unenforceable, it shall be narrowed where lawful and the remaining provisions remain effective. Clauses intended by their nature to survive termination shall survive.</w:t>
      </w:r>
    </w:p>
    <w:p>
      <w:pPr>
        <w:pStyle w:val="Heading1"/>
      </w:pPr>
      <w:r>
        <w:rPr>
          <w:rFonts w:ascii="Calibri" w:hAnsi="Calibri"/>
          <w:b/>
          <w:i w:val="0"/>
          <w:color w:val="2E74B5"/>
          <w:sz w:val="32"/>
        </w:rPr>
        <w:t>Schedule 1 - Works, Shares and Administration Rights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vAlign w:val="center"/>
            <w:tcMar>
              <w:top w:w="100" w:type="dxa"/>
              <w:start w:w="120" w:type="dxa"/>
              <w:bottom w:w="100" w:type="dxa"/>
              <w:end w:w="120" w:type="dxa"/>
            </w:tcMar>
          </w:tcPr>
          <w:p>
            <w:r>
              <w:rPr>
                <w:rFonts w:ascii="Calibri" w:hAnsi="Calibri"/>
                <w:b/>
                <w:i w:val="0"/>
                <w:color w:val="0B2545"/>
                <w:sz w:val="19"/>
              </w:rPr>
              <w:t>Field</w:t>
            </w:r>
          </w:p>
        </w:tc>
        <w:tc>
          <w:tcPr>
            <w:tcW w:type="dxa" w:w="6860"/>
            <w:shd w:fill="E8EEF5"/>
            <w:vAlign w:val="center"/>
            <w:tcMar>
              <w:top w:w="100" w:type="dxa"/>
              <w:start w:w="120" w:type="dxa"/>
              <w:bottom w:w="100" w:type="dxa"/>
              <w:end w:w="120" w:type="dxa"/>
            </w:tcMar>
          </w:tcPr>
          <w:p>
            <w:r>
              <w:rPr>
                <w:rFonts w:ascii="Calibri" w:hAnsi="Calibri"/>
                <w:b/>
                <w:i w:val="0"/>
                <w:color w:val="0B2545"/>
                <w:sz w:val="19"/>
              </w:rPr>
              <w:t>Selected term / information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Controlled party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{{ARTIST_LEGAL_NAME}}</w:t>
            </w:r>
            <w:r>
              <w:rPr>
                <w:rFonts w:ascii="Calibri" w:hAnsi="Calibri"/>
                <w:b w:val="0"/>
                <w:i w:val="0"/>
                <w:color w:val="000000"/>
                <w:sz w:val="19"/>
              </w:rPr>
              <w:t xml:space="preserve"> / </w:t>
            </w:r>
            <w:r>
              <w:rPr>
                <w:rFonts w:ascii="Calibri" w:hAnsi="Calibri"/>
                <w:b/>
                <w:i w:val="0"/>
                <w:color w:val="6B4E00"/>
                <w:sz w:val="19"/>
                <w:shd w:fill="FFF4CC"/>
              </w:rPr>
              <w:t>{{ARTIST_STAGE_NAME}}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Works and controlled shares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{{ADMINISTERED_WORKS_AND_SHARES}}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Appointment type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{{PUBLISHING_APPOINTMENT_TYPE}}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Licence type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{{PUBLISHING_LICENCE_TYPE}}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Territory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{{COMMERCIAL_TERRITORY}}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Term</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{{TERM_START_DATE}}</w:t>
            </w:r>
            <w:r>
              <w:rPr>
                <w:rFonts w:ascii="Calibri" w:hAnsi="Calibri"/>
                <w:b w:val="0"/>
                <w:i w:val="0"/>
                <w:color w:val="000000"/>
                <w:sz w:val="19"/>
              </w:rPr>
              <w:t xml:space="preserve">; </w:t>
            </w:r>
            <w:r>
              <w:rPr>
                <w:rFonts w:ascii="Calibri" w:hAnsi="Calibri"/>
                <w:b/>
                <w:i w:val="0"/>
                <w:color w:val="6B4E00"/>
                <w:sz w:val="19"/>
                <w:shd w:fill="FFF4CC"/>
              </w:rPr>
              <w:t>{{INITIAL_TERM}}</w:t>
            </w:r>
            <w:r>
              <w:rPr>
                <w:rFonts w:ascii="Calibri" w:hAnsi="Calibri"/>
                <w:b w:val="0"/>
                <w:i w:val="0"/>
                <w:color w:val="000000"/>
                <w:sz w:val="19"/>
              </w:rPr>
              <w:t xml:space="preserve">; </w:t>
            </w:r>
            <w:r>
              <w:rPr>
                <w:rFonts w:ascii="Calibri" w:hAnsi="Calibri"/>
                <w:b/>
                <w:i w:val="0"/>
                <w:color w:val="6B4E00"/>
                <w:sz w:val="19"/>
                <w:shd w:fill="FFF4CC"/>
              </w:rPr>
              <w:t>{{RENEWAL_TERMS}}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Selected rights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{{SELECTED_PUBLISHING_RIGHTS}}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CMO / prior mandates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{{EXISTING_PUBLISHING_MANDATES}}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Direct licensing</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{{DIRECT_LICENSING_RULE}}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Licence approvals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{{PUBLISHING_APPROVAL_RULE}}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Sub-administration</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{{SUBADMINISTRATION_SCOPE}}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Post-term collection</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{{POST_TERM_COLLECTION_PERIOD}}</w:t>
            </w:r>
          </w:p>
        </w:tc>
      </w:tr>
    </w:tbl>
    <w:p>
      <w:r>
        <w:br w:type="page"/>
      </w:r>
    </w:p>
    <w:p>
      <w:pPr>
        <w:pStyle w:val="Heading1"/>
      </w:pPr>
      <w:r>
        <w:rPr>
          <w:rFonts w:ascii="Calibri" w:hAnsi="Calibri"/>
          <w:b/>
          <w:i w:val="0"/>
          <w:color w:val="2E74B5"/>
          <w:sz w:val="32"/>
        </w:rPr>
        <w:t>Schedule 2 - Commission and Accounting</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vAlign w:val="center"/>
            <w:tcMar>
              <w:top w:w="100" w:type="dxa"/>
              <w:start w:w="120" w:type="dxa"/>
              <w:bottom w:w="100" w:type="dxa"/>
              <w:end w:w="120" w:type="dxa"/>
            </w:tcMar>
          </w:tcPr>
          <w:p>
            <w:r>
              <w:rPr>
                <w:rFonts w:ascii="Calibri" w:hAnsi="Calibri"/>
                <w:b/>
                <w:i w:val="0"/>
                <w:color w:val="0B2545"/>
                <w:sz w:val="19"/>
              </w:rPr>
              <w:t>Field</w:t>
            </w:r>
          </w:p>
        </w:tc>
        <w:tc>
          <w:tcPr>
            <w:tcW w:type="dxa" w:w="6860"/>
            <w:shd w:fill="E8EEF5"/>
            <w:vAlign w:val="center"/>
            <w:tcMar>
              <w:top w:w="100" w:type="dxa"/>
              <w:start w:w="120" w:type="dxa"/>
              <w:bottom w:w="100" w:type="dxa"/>
              <w:end w:w="120" w:type="dxa"/>
            </w:tcMar>
          </w:tcPr>
          <w:p>
            <w:r>
              <w:rPr>
                <w:rFonts w:ascii="Calibri" w:hAnsi="Calibri"/>
                <w:b/>
                <w:i w:val="0"/>
                <w:color w:val="0B2545"/>
                <w:sz w:val="19"/>
              </w:rPr>
              <w:t>Selected term / information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Currency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{{CURRENCY}}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Administration commission</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{{PUBLISHING_ADMIN_COMMISSION}}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Commission base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{{PUBLISHING_COMMISSION_BASE}}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Third-party deductions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{{PUBLISHING_PERMITTED_DEDUCTIONS}}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Statement frequency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{{STATEMENT_FREQUENCY}}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Payment deadline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{{PAYMENT_DAYS}}</w:t>
            </w:r>
            <w:r>
              <w:rPr>
                <w:rFonts w:ascii="Calibri" w:hAnsi="Calibri"/>
                <w:b w:val="0"/>
                <w:i w:val="0"/>
                <w:color w:val="000000"/>
                <w:sz w:val="19"/>
              </w:rPr>
              <w:t xml:space="preserve"> Business Days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Minimum payout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{{MINIMUM_PAYOUT}}</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Foreign exchange method</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{{CURRENCY_CONVERSION_METHOD}}</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VAT treatment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{{VAT_TREATMENT}}</w:t>
            </w:r>
          </w:p>
        </w:tc>
      </w:tr>
    </w:tbl>
    <w:p>
      <w:r>
        <w:br w:type="page"/>
      </w:r>
    </w:p>
    <w:p>
      <w:pPr>
        <w:pStyle w:val="Heading1"/>
      </w:pPr>
      <w:r>
        <w:rPr>
          <w:rFonts w:ascii="Calibri" w:hAnsi="Calibri"/>
          <w:b/>
          <w:i w:val="0"/>
          <w:color w:val="2E74B5"/>
          <w:sz w:val="32"/>
        </w:rPr>
        <w:t>Execution</w:t>
      </w:r>
    </w:p>
    <w:p>
      <w:r>
        <w:rPr>
          <w:rFonts w:ascii="Calibri" w:hAnsi="Calibri"/>
          <w:b w:val="0"/>
          <w:i w:val="0"/>
          <w:color w:val="000000"/>
          <w:sz w:val="22"/>
        </w:rPr>
        <w:t>Each signatory confirms that they are authorised to sign, had a reasonable opportunity to obtain independent legal advice, understand the agreement and intend to be legally bound. The parties consent to counterparts and reliable electronic signatures.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shd w:fill="E8EEF5"/>
            <w:vAlign w:val="center"/>
            <w:tcMar>
              <w:top w:w="100" w:type="dxa"/>
              <w:start w:w="120" w:type="dxa"/>
              <w:bottom w:w="100" w:type="dxa"/>
              <w:end w:w="120" w:type="dxa"/>
            </w:tcMar>
          </w:tcPr>
          <w:p>
            <w:r>
              <w:rPr>
                <w:rFonts w:ascii="Calibri" w:hAnsi="Calibri"/>
                <w:b/>
                <w:i w:val="0"/>
                <w:color w:val="0B2545"/>
                <w:sz w:val="20"/>
              </w:rPr>
              <w:t>For the Administrator</w:t>
            </w:r>
          </w:p>
        </w:tc>
        <w:tc>
          <w:tcPr>
            <w:tcW w:type="dxa" w:w="4680"/>
            <w:shd w:fill="E8EEF5"/>
            <w:vAlign w:val="center"/>
            <w:tcMar>
              <w:top w:w="100" w:type="dxa"/>
              <w:start w:w="120" w:type="dxa"/>
              <w:bottom w:w="100" w:type="dxa"/>
              <w:end w:w="120" w:type="dxa"/>
            </w:tcMar>
          </w:tcPr>
          <w:p>
            <w:r>
              <w:rPr>
                <w:rFonts w:ascii="Calibri" w:hAnsi="Calibri"/>
                <w:b/>
                <w:i w:val="0"/>
                <w:color w:val="0B2545"/>
                <w:sz w:val="20"/>
              </w:rPr>
              <w:t>Artist</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Legal name: </w:t>
            </w:r>
            <w:r>
              <w:rPr>
                <w:rFonts w:ascii="Calibri" w:hAnsi="Calibri"/>
                <w:b/>
                <w:i w:val="0"/>
                <w:color w:val="6B4E00"/>
                <w:sz w:val="19"/>
                <w:shd w:fill="FFF4CC"/>
              </w:rPr>
              <w:t>{{LABEL_LEGAL_NAME}}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Legal name: </w:t>
            </w:r>
            <w:r>
              <w:rPr>
                <w:rFonts w:ascii="Calibri" w:hAnsi="Calibri"/>
                <w:b/>
                <w:i w:val="0"/>
                <w:color w:val="6B4E00"/>
                <w:sz w:val="19"/>
                <w:shd w:fill="FFF4CC"/>
              </w:rPr>
              <w:t>{{ARTIST_LEGAL_NAME}}</w:t>
            </w:r>
            <w:r>
              <w:rPr>
                <w:rFonts w:ascii="Calibri" w:hAnsi="Calibri"/>
                <w:b w:val="0"/>
                <w:i w:val="0"/>
                <w:color w:val="000000"/>
                <w:sz w:val="19"/>
              </w:rPr>
              <w:t xml:space="preserve"> / </w:t>
            </w:r>
            <w:r>
              <w:rPr>
                <w:rFonts w:ascii="Calibri" w:hAnsi="Calibri"/>
                <w:b/>
                <w:i w:val="0"/>
                <w:color w:val="6B4E00"/>
                <w:sz w:val="19"/>
                <w:shd w:fill="FFF4CC"/>
              </w:rPr>
              <w:t>{{ARTIST_STAGE_NAME}}</w:t>
            </w:r>
          </w:p>
        </w:tc>
      </w:tr>
      <w:tr>
        <w:trPr>
          <w:cantSplit/>
        </w:trPr>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Signature: </w:t>
            </w:r>
          </w:p>
        </w:tc>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Signature: </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Name: </w:t>
            </w:r>
            <w:r>
              <w:rPr>
                <w:rFonts w:ascii="Calibri" w:hAnsi="Calibri"/>
                <w:b/>
                <w:i w:val="0"/>
                <w:color w:val="6B4E00"/>
                <w:sz w:val="19"/>
                <w:shd w:fill="FFF4CC"/>
              </w:rPr>
              <w:t>{{LABEL_SIGNATORY_NAME}}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Name: </w:t>
            </w:r>
            <w:r>
              <w:rPr>
                <w:rFonts w:ascii="Calibri" w:hAnsi="Calibri"/>
                <w:b/>
                <w:i w:val="0"/>
                <w:color w:val="6B4E00"/>
                <w:sz w:val="19"/>
                <w:shd w:fill="FFF4CC"/>
              </w:rPr>
              <w:t>{{ARTIST_LEGAL_NAME}}</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Title: </w:t>
            </w:r>
            <w:r>
              <w:rPr>
                <w:rFonts w:ascii="Calibri" w:hAnsi="Calibri"/>
                <w:b/>
                <w:i w:val="0"/>
                <w:color w:val="6B4E00"/>
                <w:sz w:val="19"/>
                <w:shd w:fill="FFF4CC"/>
              </w:rPr>
              <w:t>{{LABEL_SIGNATORY_TITLE}}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Title: Artist</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Date: </w:t>
            </w:r>
            <w:r>
              <w:rPr>
                <w:rFonts w:ascii="Calibri" w:hAnsi="Calibri"/>
                <w:b/>
                <w:i w:val="0"/>
                <w:color w:val="6B4E00"/>
                <w:sz w:val="19"/>
                <w:shd w:fill="FFF4CC"/>
              </w:rPr>
              <w:t>{{LABEL_SIGNATURE_DATE}}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Date: </w:t>
            </w:r>
            <w:r>
              <w:rPr>
                <w:rFonts w:ascii="Calibri" w:hAnsi="Calibri"/>
                <w:b/>
                <w:i w:val="0"/>
                <w:color w:val="6B4E00"/>
                <w:sz w:val="19"/>
                <w:shd w:fill="FFF4CC"/>
              </w:rPr>
              <w:t>{{ARTIST_SIGNATURE_DATE}}</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Witness name: </w:t>
            </w:r>
            <w:r>
              <w:rPr>
                <w:rFonts w:ascii="Calibri" w:hAnsi="Calibri"/>
                <w:b/>
                <w:i w:val="0"/>
                <w:color w:val="6B4E00"/>
                <w:sz w:val="19"/>
                <w:shd w:fill="FFF4CC"/>
              </w:rPr>
              <w:t>{{LABEL_WITNESS_NAME}}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Witness name: </w:t>
            </w:r>
            <w:r>
              <w:rPr>
                <w:rFonts w:ascii="Calibri" w:hAnsi="Calibri"/>
                <w:b/>
                <w:i w:val="0"/>
                <w:color w:val="6B4E00"/>
                <w:sz w:val="19"/>
                <w:shd w:fill="FFF4CC"/>
              </w:rPr>
              <w:t>{{ARTIST_WITNESS_NAME}}</w:t>
            </w:r>
          </w:p>
        </w:tc>
      </w:tr>
      <w:tr>
        <w:trPr>
          <w:cantSplit/>
        </w:trPr>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Witness signature: </w:t>
            </w:r>
          </w:p>
        </w:tc>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Witness signature: </w:t>
            </w:r>
          </w:p>
        </w:tc>
      </w:tr>
    </w:tbl>
    <w:p>
      <w:pPr>
        <w:spacing w:before="240"/>
      </w:pPr>
      <w:r>
        <w:rPr>
          <w:rFonts w:ascii="Calibri" w:hAnsi="Calibri"/>
          <w:b w:val="0"/>
          <w:i/>
          <w:color w:val="5F6B7A"/>
          <w:sz w:val="19"/>
        </w:rPr>
        <w:t>Minor-artist safeguard: if the Artist is under eighteen years of age or otherwise lacks full contractual capacity, stop this generator and obtain an attorney-prepared parent/guardian consent and court/other approval where legally required.</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7"/>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val="0"/>
        <w:i w:val="0"/>
        <w:color w:val="5F6B7A"/>
        <w:sz w:val="17"/>
      </w:rPr>
      <w:t>TP-CAMP CONTRACT TEMPLATE  |  PUBLISHING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Publishing Administration Agreement</dc:title>
  <dc:subject>Editable Trinidad and Tobago music agreement template</dc:subject>
  <dc:creator>TP-CAMP Contract Generator</dc:creator>
  <cp:keywords>Trinidad and Tobago, music contract, artist, label, template</cp:keywords>
  <dc:description>generated by python-docx</dc:description>
  <cp:lastModifiedBy/>
  <cp:revision>1</cp:revision>
  <dcterms:created xsi:type="dcterms:W3CDTF">2013-12-23T23:15:00Z</dcterms:created>
  <dcterms:modified xsi:type="dcterms:W3CDTF">2013-12-23T23:15:00Z</dcterms:modified>
  <cp:category/>
</cp:coreProperties>
</file>