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Calibri" w:hAnsi="Calibri"/>
          <w:b/>
          <w:i w:val="0"/>
          <w:color w:val="2E74B5"/>
          <w:sz w:val="19"/>
        </w:rPr>
        <w:t>TRINIDAD AND TOBAGO TEMPLATE</w:t>
      </w:r>
    </w:p>
    <w:p>
      <w:pPr>
        <w:spacing w:after="120"/>
      </w:pPr>
      <w:r>
        <w:rPr>
          <w:rFonts w:ascii="Calibri" w:hAnsi="Calibri"/>
          <w:b/>
          <w:i w:val="0"/>
          <w:color w:val="0B2545"/>
          <w:sz w:val="50"/>
        </w:rPr>
        <w:t>Project Budget, Artist Advance and Recoupment Addendum</w:t>
      </w:r>
    </w:p>
    <w:p>
      <w:pPr>
        <w:spacing w:after="280"/>
      </w:pPr>
      <w:r>
        <w:rPr>
          <w:rFonts w:ascii="Calibri" w:hAnsi="Calibri"/>
          <w:b w:val="0"/>
          <w:i w:val="0"/>
          <w:color w:val="5F6B7A"/>
          <w:sz w:val="25"/>
        </w:rPr>
        <w:t>Financial addendum defining approved costs, advance payments, recoupment sources, waterfall and overspend controls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Template ID</w:t>
            </w:r>
          </w:p>
        </w:tc>
        <w:tc>
          <w:tcPr>
            <w:tcW w:type="dxa" w:w="7660"/>
            <w:vAlign w:val="center"/>
            <w:tcMar>
              <w:top w:w="100" w:type="dxa"/>
              <w:start w:w="120" w:type="dxa"/>
              <w:bottom w:w="100" w:type="dxa"/>
              <w:end w:w="120" w:type="dxa"/>
            </w:tcMar>
          </w:tcPr>
          <w:p>
            <w:pPr>
              <w:spacing w:after="0"/>
            </w:pPr>
            <w:r>
              <w:rPr>
                <w:rFonts w:ascii="Calibri" w:hAnsi="Calibri"/>
                <w:b w:val="0"/>
                <w:i w:val="0"/>
                <w:color w:val="000000"/>
                <w:sz w:val="19"/>
              </w:rPr>
              <w:t>TT-PBR-05</w:t>
            </w:r>
          </w:p>
        </w:tc>
      </w:tr>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Contracting parties</w:t>
            </w:r>
          </w:p>
        </w:tc>
        <w:tc>
          <w:tcPr>
            <w:tcW w:type="dxa" w:w="7660"/>
            <w:vAlign w:val="center"/>
            <w:tcMar>
              <w:top w:w="100" w:type="dxa"/>
              <w:start w:w="120" w:type="dxa"/>
              <w:bottom w:w="100" w:type="dxa"/>
              <w:end w:w="120" w:type="dxa"/>
            </w:tcMar>
          </w:tcPr>
          <w:p>
            <w:pPr>
              <w:spacing w:after="0"/>
            </w:pPr>
            <w:r>
              <w:rPr>
                <w:rFonts w:ascii="Calibri" w:hAnsi="Calibri"/>
                <w:b/>
                <w:i w:val="0"/>
                <w:color w:val="6B4E00"/>
                <w:sz w:val="19"/>
                <w:shd w:fill="FFF4CC"/>
              </w:rPr>
              <w:t>{{LABEL_LEGAL_NAME}}</w:t>
            </w:r>
            <w:r>
              <w:rPr>
                <w:rFonts w:ascii="Calibri" w:hAnsi="Calibri"/>
                <w:b w:val="0"/>
                <w:i w:val="0"/>
                <w:color w:val="000000"/>
                <w:sz w:val="19"/>
              </w:rPr>
              <w:t xml:space="preserve"> and </w:t>
            </w:r>
            <w:r>
              <w:rPr>
                <w:rFonts w:ascii="Calibri" w:hAnsi="Calibri"/>
                <w:b/>
                <w:i w:val="0"/>
                <w:color w:val="6B4E00"/>
                <w:sz w:val="19"/>
                <w:shd w:fill="FFF4CC"/>
              </w:rPr>
              <w:t>{{ARTIST_LEGAL_NAME}}</w:t>
            </w:r>
          </w:p>
        </w:tc>
      </w:tr>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Effective date</w:t>
            </w:r>
          </w:p>
        </w:tc>
        <w:tc>
          <w:tcPr>
            <w:tcW w:type="dxa" w:w="7660"/>
            <w:vAlign w:val="center"/>
            <w:tcMar>
              <w:top w:w="100" w:type="dxa"/>
              <w:start w:w="120" w:type="dxa"/>
              <w:bottom w:w="100" w:type="dxa"/>
              <w:end w:w="120" w:type="dxa"/>
            </w:tcMar>
          </w:tcPr>
          <w:p>
            <w:pPr>
              <w:spacing w:after="0"/>
            </w:pPr>
            <w:r>
              <w:rPr>
                <w:rFonts w:ascii="Calibri" w:hAnsi="Calibri"/>
                <w:b/>
                <w:i w:val="0"/>
                <w:color w:val="6B4E00"/>
                <w:sz w:val="19"/>
                <w:shd w:fill="FFF4CC"/>
              </w:rPr>
              <w:t>{{EFFECTIVE_DATE}}</w:t>
            </w:r>
          </w:p>
        </w:tc>
      </w:tr>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Governing law</w:t>
            </w:r>
          </w:p>
        </w:tc>
        <w:tc>
          <w:tcPr>
            <w:tcW w:type="dxa" w:w="7660"/>
            <w:vAlign w:val="center"/>
            <w:tcMar>
              <w:top w:w="100" w:type="dxa"/>
              <w:start w:w="120" w:type="dxa"/>
              <w:bottom w:w="100" w:type="dxa"/>
              <w:end w:w="120" w:type="dxa"/>
            </w:tcMar>
          </w:tcPr>
          <w:p>
            <w:pPr>
              <w:spacing w:after="0"/>
            </w:pPr>
            <w:r>
              <w:rPr>
                <w:rFonts w:ascii="Calibri" w:hAnsi="Calibri"/>
                <w:b w:val="0"/>
                <w:i w:val="0"/>
                <w:color w:val="000000"/>
                <w:sz w:val="19"/>
              </w:rPr>
              <w:t>Republic of Trinidad and Tobago</w:t>
            </w:r>
          </w:p>
        </w:tc>
      </w:tr>
    </w:tbl>
    <w:p>
      <w:pPr>
        <w:spacing w:before="240" w:after="240"/>
        <w:pBdr>
          <w:bottom w:val="single" w:sz="8" w:space="6" w:color="2E74B5"/>
        </w:pBdr>
      </w:pPr>
      <w:r>
        <w:rPr>
          <w:rFonts w:ascii="Calibri" w:hAnsi="Calibri"/>
          <w:b w:val="0"/>
          <w:i/>
          <w:color w:val="5F6B7A"/>
          <w:sz w:val="19"/>
        </w:rPr>
        <w:t>Important template notice. This document is a drafting aid, not legal advice. Have a Trinidad and Tobago attorney review the completed agreement, the parties' legal capacity, tax treatment, CMO mandates and all negotiated commercial terms before signature.</w:t>
      </w:r>
    </w:p>
    <w:p>
      <w:pPr>
        <w:pStyle w:val="Heading1"/>
      </w:pPr>
      <w:r>
        <w:rPr>
          <w:rFonts w:ascii="Calibri" w:hAnsi="Calibri"/>
          <w:b/>
          <w:i w:val="0"/>
          <w:color w:val="2E74B5"/>
          <w:sz w:val="32"/>
        </w:rPr>
        <w:t>Agreement</w:t>
      </w:r>
    </w:p>
    <w:p>
      <w:pPr>
        <w:keepLines/>
      </w:pPr>
      <w:r>
        <w:rPr>
          <w:rFonts w:ascii="Calibri" w:hAnsi="Calibri"/>
          <w:b w:val="0"/>
          <w:i w:val="0"/>
          <w:color w:val="000000"/>
          <w:sz w:val="22"/>
        </w:rPr>
        <w:t xml:space="preserve">This Agreement is made on </w:t>
      </w:r>
      <w:r>
        <w:rPr>
          <w:rFonts w:ascii="Calibri" w:hAnsi="Calibri"/>
          <w:b/>
          <w:i w:val="0"/>
          <w:color w:val="6B4E00"/>
          <w:sz w:val="19"/>
          <w:shd w:fill="FFF4CC"/>
        </w:rPr>
        <w:t>{{EFFECTIVE_DATE}}</w:t>
      </w:r>
      <w:r>
        <w:rPr>
          <w:rFonts w:ascii="Calibri" w:hAnsi="Calibri"/>
          <w:b w:val="0"/>
          <w:i w:val="0"/>
          <w:color w:val="000000"/>
          <w:sz w:val="22"/>
        </w:rPr>
        <w:t xml:space="preserve"> between </w:t>
      </w:r>
      <w:r>
        <w:rPr>
          <w:rFonts w:ascii="Calibri" w:hAnsi="Calibri"/>
          <w:b/>
          <w:i w:val="0"/>
          <w:color w:val="6B4E00"/>
          <w:sz w:val="19"/>
          <w:shd w:fill="FFF4CC"/>
        </w:rPr>
        <w:t>{{LABEL_LEGAL_NAME}}</w:t>
      </w:r>
      <w:r>
        <w:rPr>
          <w:rFonts w:ascii="Calibri" w:hAnsi="Calibri"/>
          <w:b w:val="0"/>
          <w:i w:val="0"/>
          <w:color w:val="000000"/>
          <w:sz w:val="22"/>
        </w:rPr>
        <w:t xml:space="preserve">, a </w:t>
      </w:r>
      <w:r>
        <w:rPr>
          <w:rFonts w:ascii="Calibri" w:hAnsi="Calibri"/>
          <w:b/>
          <w:i w:val="0"/>
          <w:color w:val="6B4E00"/>
          <w:sz w:val="19"/>
          <w:shd w:fill="FFF4CC"/>
        </w:rPr>
        <w:t>{{LABEL_ENTITY_TYPE}}</w:t>
      </w:r>
      <w:r>
        <w:rPr>
          <w:rFonts w:ascii="Calibri" w:hAnsi="Calibri"/>
          <w:b w:val="0"/>
          <w:i w:val="0"/>
          <w:color w:val="000000"/>
          <w:sz w:val="22"/>
        </w:rPr>
        <w:t xml:space="preserve"> organised or registered under the laws of </w:t>
      </w:r>
      <w:r>
        <w:rPr>
          <w:rFonts w:ascii="Calibri" w:hAnsi="Calibri"/>
          <w:b/>
          <w:i w:val="0"/>
          <w:color w:val="6B4E00"/>
          <w:sz w:val="19"/>
          <w:shd w:fill="FFF4CC"/>
        </w:rPr>
        <w:t>{{LABEL_JURISDICTION}}</w:t>
      </w:r>
      <w:r>
        <w:rPr>
          <w:rFonts w:ascii="Calibri" w:hAnsi="Calibri"/>
          <w:b w:val="0"/>
          <w:i w:val="0"/>
          <w:color w:val="000000"/>
          <w:sz w:val="22"/>
        </w:rPr>
        <w:t xml:space="preserve">, registration number </w:t>
      </w:r>
      <w:r>
        <w:rPr>
          <w:rFonts w:ascii="Calibri" w:hAnsi="Calibri"/>
          <w:b/>
          <w:i w:val="0"/>
          <w:color w:val="6B4E00"/>
          <w:sz w:val="19"/>
          <w:shd w:fill="FFF4CC"/>
        </w:rPr>
        <w:t>{{LABEL_REGISTRATION_NUMBER}}</w:t>
      </w:r>
      <w:r>
        <w:rPr>
          <w:rFonts w:ascii="Calibri" w:hAnsi="Calibri"/>
          <w:b w:val="0"/>
          <w:i w:val="0"/>
          <w:color w:val="000000"/>
          <w:sz w:val="22"/>
        </w:rPr>
        <w:t xml:space="preserve">, with its principal business address at </w:t>
      </w:r>
      <w:r>
        <w:rPr>
          <w:rFonts w:ascii="Calibri" w:hAnsi="Calibri"/>
          <w:b/>
          <w:i w:val="0"/>
          <w:color w:val="6B4E00"/>
          <w:sz w:val="19"/>
          <w:shd w:fill="FFF4CC"/>
        </w:rPr>
        <w:t>{{LABEL_ADDRESS}}</w:t>
      </w:r>
      <w:r>
        <w:rPr>
          <w:rFonts w:ascii="Calibri" w:hAnsi="Calibri"/>
          <w:b w:val="0"/>
          <w:i w:val="0"/>
          <w:color w:val="000000"/>
          <w:sz w:val="22"/>
        </w:rPr>
        <w:t xml:space="preserve"> (the "Label"), and </w:t>
      </w:r>
      <w:r>
        <w:rPr>
          <w:rFonts w:ascii="Calibri" w:hAnsi="Calibri"/>
          <w:b/>
          <w:i w:val="0"/>
          <w:color w:val="6B4E00"/>
          <w:sz w:val="19"/>
          <w:shd w:fill="FFF4CC"/>
        </w:rPr>
        <w:t>{{ARTIST_LEGAL_NAME}}</w:t>
      </w:r>
      <w:r>
        <w:rPr>
          <w:rFonts w:ascii="Calibri" w:hAnsi="Calibri"/>
          <w:b w:val="0"/>
          <w:i w:val="0"/>
          <w:color w:val="000000"/>
          <w:sz w:val="22"/>
        </w:rPr>
        <w:t xml:space="preserve">, professionally known as </w:t>
      </w:r>
      <w:r>
        <w:rPr>
          <w:rFonts w:ascii="Calibri" w:hAnsi="Calibri"/>
          <w:b/>
          <w:i w:val="0"/>
          <w:color w:val="6B4E00"/>
          <w:sz w:val="19"/>
          <w:shd w:fill="FFF4CC"/>
        </w:rPr>
        <w:t>{{ARTIST_STAGE_NAME}}</w:t>
      </w:r>
      <w:r>
        <w:rPr>
          <w:rFonts w:ascii="Calibri" w:hAnsi="Calibri"/>
          <w:b w:val="0"/>
          <w:i w:val="0"/>
          <w:color w:val="000000"/>
          <w:sz w:val="22"/>
        </w:rPr>
        <w:t xml:space="preserve">, of </w:t>
      </w:r>
      <w:r>
        <w:rPr>
          <w:rFonts w:ascii="Calibri" w:hAnsi="Calibri"/>
          <w:b/>
          <w:i w:val="0"/>
          <w:color w:val="6B4E00"/>
          <w:sz w:val="19"/>
          <w:shd w:fill="FFF4CC"/>
        </w:rPr>
        <w:t>{{ARTIST_ADDRESS}}</w:t>
      </w:r>
      <w:r>
        <w:rPr>
          <w:rFonts w:ascii="Calibri" w:hAnsi="Calibri"/>
          <w:b w:val="0"/>
          <w:i w:val="0"/>
          <w:color w:val="000000"/>
          <w:sz w:val="22"/>
        </w:rPr>
        <w:t xml:space="preserve"> (the "Artist").</w:t>
      </w:r>
    </w:p>
    <w:p>
      <w:pPr>
        <w:keepLines/>
      </w:pPr>
      <w:r>
        <w:rPr>
          <w:rFonts w:ascii="Calibri" w:hAnsi="Calibri"/>
          <w:b w:val="0"/>
          <w:i w:val="0"/>
          <w:color w:val="000000"/>
          <w:sz w:val="22"/>
        </w:rPr>
        <w:t xml:space="preserve">The parties entered into </w:t>
      </w:r>
      <w:r>
        <w:rPr>
          <w:rFonts w:ascii="Calibri" w:hAnsi="Calibri"/>
          <w:b/>
          <w:i w:val="0"/>
          <w:color w:val="6B4E00"/>
          <w:sz w:val="19"/>
          <w:shd w:fill="FFF4CC"/>
        </w:rPr>
        <w:t>{{UNDERLYING_AGREEMENT_TITLE}}</w:t>
      </w:r>
      <w:r>
        <w:rPr>
          <w:rFonts w:ascii="Calibri" w:hAnsi="Calibri"/>
          <w:b w:val="0"/>
          <w:i w:val="0"/>
          <w:color w:val="000000"/>
          <w:sz w:val="22"/>
        </w:rPr>
        <w:t xml:space="preserve"> dated </w:t>
      </w:r>
      <w:r>
        <w:rPr>
          <w:rFonts w:ascii="Calibri" w:hAnsi="Calibri"/>
          <w:b/>
          <w:i w:val="0"/>
          <w:color w:val="6B4E00"/>
          <w:sz w:val="19"/>
          <w:shd w:fill="FFF4CC"/>
        </w:rPr>
        <w:t>{{UNDERLYING_AGREEMENT_DATE}}</w:t>
      </w:r>
      <w:r>
        <w:rPr>
          <w:rFonts w:ascii="Calibri" w:hAnsi="Calibri"/>
          <w:b w:val="0"/>
          <w:i w:val="0"/>
          <w:color w:val="000000"/>
          <w:sz w:val="22"/>
        </w:rPr>
        <w:t xml:space="preserve"> concerning </w:t>
      </w:r>
      <w:r>
        <w:rPr>
          <w:rFonts w:ascii="Calibri" w:hAnsi="Calibri"/>
          <w:b/>
          <w:i w:val="0"/>
          <w:color w:val="6B4E00"/>
          <w:sz w:val="19"/>
          <w:shd w:fill="FFF4CC"/>
        </w:rPr>
        <w:t>{{PROJECT_TITLE}}</w:t>
      </w:r>
      <w:r>
        <w:rPr>
          <w:rFonts w:ascii="Calibri" w:hAnsi="Calibri"/>
          <w:b w:val="0"/>
          <w:i w:val="0"/>
          <w:color w:val="000000"/>
          <w:sz w:val="22"/>
        </w:rPr>
        <w:t xml:space="preserve"> (the "Main Agreement").</w:t>
      </w:r>
    </w:p>
    <w:p>
      <w:pPr>
        <w:keepLines/>
      </w:pPr>
      <w:r>
        <w:rPr>
          <w:rFonts w:ascii="Calibri" w:hAnsi="Calibri"/>
          <w:b w:val="0"/>
          <w:i w:val="0"/>
          <w:color w:val="000000"/>
          <w:sz w:val="22"/>
        </w:rPr>
        <w:t>They wish to record the approved budget, any Artist advance, the exact recoupment mechanics and protections against unapproved or unrelated deductions.</w:t>
      </w:r>
    </w:p>
    <w:p>
      <w:r>
        <w:rPr>
          <w:rFonts w:ascii="Calibri" w:hAnsi="Calibri"/>
          <w:b/>
          <w:i w:val="0"/>
          <w:color w:val="000000"/>
          <w:sz w:val="22"/>
        </w:rPr>
        <w:t>The parties therefore agree as follows:</w:t>
      </w:r>
    </w:p>
    <w:p>
      <w:pPr>
        <w:pStyle w:val="Heading1"/>
      </w:pPr>
      <w:r>
        <w:rPr>
          <w:rFonts w:ascii="Calibri" w:hAnsi="Calibri"/>
          <w:b/>
          <w:i w:val="0"/>
          <w:color w:val="2E74B5"/>
          <w:sz w:val="32"/>
        </w:rPr>
        <w:t>1. Definitions and interpretation</w:t>
      </w:r>
    </w:p>
    <w:p>
      <w:pPr>
        <w:keepLines/>
        <w:ind w:left="259" w:hanging="259"/>
      </w:pPr>
      <w:r>
        <w:rPr>
          <w:rFonts w:ascii="Calibri" w:hAnsi="Calibri"/>
          <w:b/>
          <w:i w:val="0"/>
          <w:color w:val="000000"/>
          <w:sz w:val="22"/>
        </w:rPr>
        <w:t xml:space="preserve">Agreement. </w:t>
      </w:r>
      <w:r>
        <w:rPr>
          <w:rFonts w:ascii="Calibri" w:hAnsi="Calibri"/>
          <w:b w:val="0"/>
          <w:i w:val="0"/>
          <w:color w:val="000000"/>
          <w:sz w:val="22"/>
        </w:rPr>
        <w:t>this agreement, its completed schedules and every signed written amendment.</w:t>
      </w:r>
    </w:p>
    <w:p>
      <w:pPr>
        <w:keepLines/>
        <w:ind w:left="259" w:hanging="259"/>
      </w:pPr>
      <w:r>
        <w:rPr>
          <w:rFonts w:ascii="Calibri" w:hAnsi="Calibri"/>
          <w:b/>
          <w:i w:val="0"/>
          <w:color w:val="000000"/>
          <w:sz w:val="22"/>
        </w:rPr>
        <w:t xml:space="preserve">Artist Materials. </w:t>
      </w:r>
      <w:r>
        <w:rPr>
          <w:rFonts w:ascii="Calibri" w:hAnsi="Calibri"/>
          <w:b w:val="0"/>
          <w:i w:val="0"/>
          <w:color w:val="000000"/>
          <w:sz w:val="22"/>
        </w:rPr>
        <w:t>the Artist's approved name, professional name, biography, image, likeness, logos, approved photographs, audio-visual content and other promotional materials supplied for the agreed services.</w:t>
      </w:r>
    </w:p>
    <w:p>
      <w:pPr>
        <w:keepLines/>
        <w:ind w:left="259" w:hanging="259"/>
      </w:pPr>
      <w:r>
        <w:rPr>
          <w:rFonts w:ascii="Calibri" w:hAnsi="Calibri"/>
          <w:b/>
          <w:i w:val="0"/>
          <w:color w:val="000000"/>
          <w:sz w:val="22"/>
        </w:rPr>
        <w:t xml:space="preserve">Net Receipts. </w:t>
      </w:r>
      <w:r>
        <w:rPr>
          <w:rFonts w:ascii="Calibri" w:hAnsi="Calibri"/>
          <w:b w:val="0"/>
          <w:i w:val="0"/>
          <w:color w:val="000000"/>
          <w:sz w:val="22"/>
        </w:rPr>
        <w:t>money actually received and cleared by the receiving party from authorised exploitation, less only the deductions expressly selected in Schedule 2; Net Receipts do not include amounts never received, uncollected taxes or refunded transactions.</w:t>
      </w:r>
    </w:p>
    <w:p>
      <w:pPr>
        <w:keepLines/>
        <w:ind w:left="259" w:hanging="259"/>
      </w:pPr>
      <w:r>
        <w:rPr>
          <w:rFonts w:ascii="Calibri" w:hAnsi="Calibri"/>
          <w:b/>
          <w:i w:val="0"/>
          <w:color w:val="000000"/>
          <w:sz w:val="22"/>
        </w:rPr>
        <w:t xml:space="preserve">Territory. </w:t>
      </w:r>
      <w:r>
        <w:rPr>
          <w:rFonts w:ascii="Calibri" w:hAnsi="Calibri"/>
          <w:b/>
          <w:i w:val="0"/>
          <w:color w:val="6B4E00"/>
          <w:sz w:val="19"/>
          <w:shd w:fill="FFF4CC"/>
        </w:rPr>
        <w:t>{{COMMERCIAL_TERRITORY}}</w:t>
      </w:r>
      <w:r>
        <w:rPr>
          <w:rFonts w:ascii="Calibri" w:hAnsi="Calibri"/>
          <w:b w:val="0"/>
          <w:i w:val="0"/>
          <w:color w:val="000000"/>
          <w:sz w:val="22"/>
        </w:rPr>
        <w:t>.</w:t>
      </w:r>
    </w:p>
    <w:p>
      <w:pPr>
        <w:keepLines/>
        <w:ind w:left="259" w:hanging="259"/>
      </w:pPr>
      <w:r>
        <w:rPr>
          <w:rFonts w:ascii="Calibri" w:hAnsi="Calibri"/>
          <w:b/>
          <w:i w:val="0"/>
          <w:color w:val="000000"/>
          <w:sz w:val="22"/>
        </w:rPr>
        <w:t xml:space="preserve">Advance. </w:t>
      </w:r>
      <w:r>
        <w:rPr>
          <w:rFonts w:ascii="Calibri" w:hAnsi="Calibri"/>
          <w:b w:val="0"/>
          <w:i w:val="0"/>
          <w:color w:val="000000"/>
          <w:sz w:val="22"/>
        </w:rPr>
        <w:t>the amount in Schedule 1 paid to or for the Artist before it is earned from project receipts.</w:t>
      </w:r>
    </w:p>
    <w:p>
      <w:pPr>
        <w:keepLines/>
        <w:ind w:left="259" w:hanging="259"/>
      </w:pPr>
      <w:r>
        <w:rPr>
          <w:rFonts w:ascii="Calibri" w:hAnsi="Calibri"/>
          <w:b/>
          <w:i w:val="0"/>
          <w:color w:val="000000"/>
          <w:sz w:val="22"/>
        </w:rPr>
        <w:t xml:space="preserve">Approved Recoupable Costs. </w:t>
      </w:r>
      <w:r>
        <w:rPr>
          <w:rFonts w:ascii="Calibri" w:hAnsi="Calibri"/>
          <w:b w:val="0"/>
          <w:i w:val="0"/>
          <w:color w:val="000000"/>
          <w:sz w:val="22"/>
        </w:rPr>
        <w:t>only the itemised, documented and properly approved costs marked recoupable in Schedule 1.</w:t>
      </w:r>
    </w:p>
    <w:p>
      <w:pPr>
        <w:keepLines/>
        <w:ind w:left="259" w:hanging="259"/>
      </w:pPr>
      <w:r>
        <w:rPr>
          <w:rFonts w:ascii="Calibri" w:hAnsi="Calibri"/>
          <w:b/>
          <w:i w:val="0"/>
          <w:color w:val="000000"/>
          <w:sz w:val="22"/>
        </w:rPr>
        <w:t xml:space="preserve">Project Receipts. </w:t>
      </w:r>
      <w:r>
        <w:rPr>
          <w:rFonts w:ascii="Calibri" w:hAnsi="Calibri"/>
          <w:b w:val="0"/>
          <w:i w:val="0"/>
          <w:color w:val="000000"/>
          <w:sz w:val="22"/>
        </w:rPr>
        <w:t>money actually received and cleared from the revenue sources selected in Schedule 2 and attributable to the Project.</w:t>
      </w:r>
    </w:p>
    <w:p>
      <w:pPr>
        <w:keepLines/>
        <w:ind w:left="259" w:hanging="259"/>
      </w:pPr>
      <w:r>
        <w:rPr>
          <w:rFonts w:ascii="Calibri" w:hAnsi="Calibri"/>
          <w:b/>
          <w:i w:val="0"/>
          <w:color w:val="000000"/>
          <w:sz w:val="22"/>
        </w:rPr>
        <w:t xml:space="preserve">Recouped. </w:t>
      </w:r>
      <w:r>
        <w:rPr>
          <w:rFonts w:ascii="Calibri" w:hAnsi="Calibri"/>
          <w:b w:val="0"/>
          <w:i w:val="0"/>
          <w:color w:val="000000"/>
          <w:sz w:val="22"/>
        </w:rPr>
        <w:t>the point at which the recoverable balance has been reduced to zero through the agreed waterfall; recoupment is an accounting recovery from selected receipts and not personal repayment unless expressly stated.</w:t>
      </w:r>
    </w:p>
    <w:p>
      <w:r>
        <w:rPr>
          <w:rFonts w:ascii="Calibri" w:hAnsi="Calibri"/>
          <w:b w:val="0"/>
          <w:i w:val="0"/>
          <w:color w:val="000000"/>
          <w:sz w:val="22"/>
        </w:rPr>
        <w:t>Headings are for convenience only. References to writing include an accessible and retainable electronic record. A Business Day is a day other than Saturday, Sunday or a public holiday observed in Trinidad and Tobago.</w:t>
      </w:r>
    </w:p>
    <w:p>
      <w:pPr>
        <w:pStyle w:val="Heading1"/>
      </w:pPr>
      <w:r>
        <w:rPr>
          <w:rFonts w:ascii="Calibri" w:hAnsi="Calibri"/>
          <w:b/>
          <w:i w:val="0"/>
          <w:color w:val="2E74B5"/>
          <w:sz w:val="32"/>
        </w:rPr>
        <w:t>2. Relationship with Main Agreement</w:t>
      </w:r>
    </w:p>
    <w:p>
      <w:pPr>
        <w:keepLines/>
      </w:pPr>
      <w:r>
        <w:rPr>
          <w:rFonts w:ascii="Calibri" w:hAnsi="Calibri"/>
          <w:b w:val="0"/>
          <w:i w:val="0"/>
          <w:color w:val="000000"/>
          <w:sz w:val="22"/>
        </w:rPr>
        <w:t>This Addendum forms part of the Main Agreement. Capitalised terms not defined here have the meanings in the Main Agreement. If there is a conflict on budget, advances, deductions or recoupment, this Addendum prevails; otherwise the Main Agreement remains unchanged.</w:t>
      </w:r>
    </w:p>
    <w:p>
      <w:pPr>
        <w:pStyle w:val="Heading1"/>
      </w:pPr>
      <w:r>
        <w:rPr>
          <w:rFonts w:ascii="Calibri" w:hAnsi="Calibri"/>
          <w:b/>
          <w:i w:val="0"/>
          <w:color w:val="2E74B5"/>
          <w:sz w:val="32"/>
        </w:rPr>
        <w:t>3. Approved budget and authority</w:t>
      </w:r>
    </w:p>
    <w:p>
      <w:pPr>
        <w:keepLines/>
      </w:pPr>
      <w:r>
        <w:rPr>
          <w:rFonts w:ascii="Calibri" w:hAnsi="Calibri"/>
          <w:b w:val="0"/>
          <w:i w:val="0"/>
          <w:color w:val="000000"/>
          <w:sz w:val="22"/>
        </w:rPr>
        <w:t xml:space="preserve">The total Approved Budget is </w:t>
      </w:r>
      <w:r>
        <w:rPr>
          <w:rFonts w:ascii="Calibri" w:hAnsi="Calibri"/>
          <w:b/>
          <w:i w:val="0"/>
          <w:color w:val="6B4E00"/>
          <w:sz w:val="19"/>
          <w:shd w:fill="FFF4CC"/>
        </w:rPr>
        <w:t>{{APPROVED_PROJECT_BUDGET}}</w:t>
      </w:r>
      <w:r>
        <w:rPr>
          <w:rFonts w:ascii="Calibri" w:hAnsi="Calibri"/>
          <w:b w:val="0"/>
          <w:i w:val="0"/>
          <w:color w:val="000000"/>
          <w:sz w:val="22"/>
        </w:rPr>
        <w:t xml:space="preserve"> in </w:t>
      </w:r>
      <w:r>
        <w:rPr>
          <w:rFonts w:ascii="Calibri" w:hAnsi="Calibri"/>
          <w:b/>
          <w:i w:val="0"/>
          <w:color w:val="6B4E00"/>
          <w:sz w:val="19"/>
          <w:shd w:fill="FFF4CC"/>
        </w:rPr>
        <w:t>{{CURRENCY}}</w:t>
      </w:r>
      <w:r>
        <w:rPr>
          <w:rFonts w:ascii="Calibri" w:hAnsi="Calibri"/>
          <w:b w:val="0"/>
          <w:i w:val="0"/>
          <w:color w:val="000000"/>
          <w:sz w:val="22"/>
        </w:rPr>
        <w:t>. Category limits and responsible approvers are in Schedule 1. A budget is authority to spend up to the approved amount for the stated purpose; it is not authority to substitute an unrelated cost or to treat every approved cost as recoupable.</w:t>
      </w:r>
    </w:p>
    <w:p>
      <w:pPr>
        <w:keepLines/>
      </w:pPr>
      <w:r>
        <w:rPr>
          <w:rFonts w:ascii="Calibri" w:hAnsi="Calibri"/>
          <w:b w:val="0"/>
          <w:i w:val="0"/>
          <w:color w:val="000000"/>
          <w:sz w:val="22"/>
        </w:rPr>
        <w:t xml:space="preserve">No party shall split invoices, purchase orders or related commitments to avoid an approval threshold. Any forecast overrun must be notified before commitment. An overrun is recoupable only if approved in writing by </w:t>
      </w:r>
      <w:r>
        <w:rPr>
          <w:rFonts w:ascii="Calibri" w:hAnsi="Calibri"/>
          <w:b/>
          <w:i w:val="0"/>
          <w:color w:val="6B4E00"/>
          <w:sz w:val="19"/>
          <w:shd w:fill="FFF4CC"/>
        </w:rPr>
        <w:t>{{BUDGET_OVERRUN_APPROVER}}</w:t>
      </w:r>
      <w:r>
        <w:rPr>
          <w:rFonts w:ascii="Calibri" w:hAnsi="Calibri"/>
          <w:b w:val="0"/>
          <w:i w:val="0"/>
          <w:color w:val="000000"/>
          <w:sz w:val="22"/>
        </w:rPr>
        <w:t xml:space="preserve"> or if it was a documented emergency cost reasonably necessary to prevent greater loss and was reported within </w:t>
      </w:r>
      <w:r>
        <w:rPr>
          <w:rFonts w:ascii="Calibri" w:hAnsi="Calibri"/>
          <w:b/>
          <w:i w:val="0"/>
          <w:color w:val="6B4E00"/>
          <w:sz w:val="19"/>
          <w:shd w:fill="FFF4CC"/>
        </w:rPr>
        <w:t>{{EMERGENCY_COST_NOTICE_DAYS}}</w:t>
      </w:r>
      <w:r>
        <w:rPr>
          <w:rFonts w:ascii="Calibri" w:hAnsi="Calibri"/>
          <w:b w:val="0"/>
          <w:i w:val="0"/>
          <w:color w:val="000000"/>
          <w:sz w:val="22"/>
        </w:rPr>
        <w:t xml:space="preserve"> Business Days.</w:t>
      </w:r>
    </w:p>
    <w:p>
      <w:pPr>
        <w:pStyle w:val="Heading1"/>
      </w:pPr>
      <w:r>
        <w:rPr>
          <w:rFonts w:ascii="Calibri" w:hAnsi="Calibri"/>
          <w:b/>
          <w:i w:val="0"/>
          <w:color w:val="2E74B5"/>
          <w:sz w:val="32"/>
        </w:rPr>
        <w:t>4. Artist advance</w:t>
      </w:r>
    </w:p>
    <w:p>
      <w:pPr>
        <w:keepLines/>
      </w:pPr>
      <w:r>
        <w:rPr>
          <w:rFonts w:ascii="Calibri" w:hAnsi="Calibri"/>
          <w:b w:val="0"/>
          <w:i w:val="0"/>
          <w:color w:val="000000"/>
          <w:sz w:val="22"/>
        </w:rPr>
        <w:t xml:space="preserve">The Label shall pay or apply the Advance of </w:t>
      </w:r>
      <w:r>
        <w:rPr>
          <w:rFonts w:ascii="Calibri" w:hAnsi="Calibri"/>
          <w:b/>
          <w:i w:val="0"/>
          <w:color w:val="6B4E00"/>
          <w:sz w:val="19"/>
          <w:shd w:fill="FFF4CC"/>
        </w:rPr>
        <w:t>{{ARTIST_ADVANCE_AMOUNT}}</w:t>
      </w:r>
      <w:r>
        <w:rPr>
          <w:rFonts w:ascii="Calibri" w:hAnsi="Calibri"/>
          <w:b w:val="0"/>
          <w:i w:val="0"/>
          <w:color w:val="000000"/>
          <w:sz w:val="22"/>
        </w:rPr>
        <w:t xml:space="preserve"> according to </w:t>
      </w:r>
      <w:r>
        <w:rPr>
          <w:rFonts w:ascii="Calibri" w:hAnsi="Calibri"/>
          <w:b/>
          <w:i w:val="0"/>
          <w:color w:val="6B4E00"/>
          <w:sz w:val="19"/>
          <w:shd w:fill="FFF4CC"/>
        </w:rPr>
        <w:t>{{ADVANCE_PAYMENT_SCHEDULE}}</w:t>
      </w:r>
      <w:r>
        <w:rPr>
          <w:rFonts w:ascii="Calibri" w:hAnsi="Calibri"/>
          <w:b w:val="0"/>
          <w:i w:val="0"/>
          <w:color w:val="000000"/>
          <w:sz w:val="22"/>
        </w:rPr>
        <w:t xml:space="preserve">. Payment is conditional only on </w:t>
      </w:r>
      <w:r>
        <w:rPr>
          <w:rFonts w:ascii="Calibri" w:hAnsi="Calibri"/>
          <w:b/>
          <w:i w:val="0"/>
          <w:color w:val="6B4E00"/>
          <w:sz w:val="19"/>
          <w:shd w:fill="FFF4CC"/>
        </w:rPr>
        <w:t>{{ADVANCE_PAYMENT_CONDITIONS}}</w:t>
      </w:r>
      <w:r>
        <w:rPr>
          <w:rFonts w:ascii="Calibri" w:hAnsi="Calibri"/>
          <w:b w:val="0"/>
          <w:i w:val="0"/>
          <w:color w:val="000000"/>
          <w:sz w:val="22"/>
        </w:rPr>
        <w:t>. The Artist shall receive a written record of any amount paid directly to a third party on the Artist's behalf.</w:t>
      </w:r>
    </w:p>
    <w:p>
      <w:pPr>
        <w:keepLines/>
      </w:pPr>
      <w:r>
        <w:rPr>
          <w:rFonts w:ascii="Calibri" w:hAnsi="Calibri"/>
          <w:b w:val="0"/>
          <w:i w:val="0"/>
          <w:color w:val="000000"/>
          <w:sz w:val="22"/>
        </w:rPr>
        <w:t xml:space="preserve">The Advance is </w:t>
      </w:r>
      <w:r>
        <w:rPr>
          <w:rFonts w:ascii="Calibri" w:hAnsi="Calibri"/>
          <w:b/>
          <w:i w:val="0"/>
          <w:color w:val="6B4E00"/>
          <w:sz w:val="19"/>
          <w:shd w:fill="FFF4CC"/>
        </w:rPr>
        <w:t>{{ADVANCE_RECOUPMENT_STATUS}}</w:t>
      </w:r>
      <w:r>
        <w:rPr>
          <w:rFonts w:ascii="Calibri" w:hAnsi="Calibri"/>
          <w:b w:val="0"/>
          <w:i w:val="0"/>
          <w:color w:val="000000"/>
          <w:sz w:val="22"/>
        </w:rPr>
        <w:t>. Unless the checked term in Schedule 1 expressly creates personal repayment and has been independently reviewed, the Artist has no personal obligation to repay an unrecouped balance from assets or income outside the selected Project Receipts.</w:t>
      </w:r>
    </w:p>
    <w:p>
      <w:pPr>
        <w:pStyle w:val="Heading1"/>
      </w:pPr>
      <w:r>
        <w:rPr>
          <w:rFonts w:ascii="Calibri" w:hAnsi="Calibri"/>
          <w:b/>
          <w:i w:val="0"/>
          <w:color w:val="2E74B5"/>
          <w:sz w:val="32"/>
        </w:rPr>
        <w:t>5. Recoupable and non-recoupable amounts</w:t>
      </w:r>
    </w:p>
    <w:p>
      <w:pPr>
        <w:keepLines/>
      </w:pPr>
      <w:r>
        <w:rPr>
          <w:rFonts w:ascii="Calibri" w:hAnsi="Calibri"/>
          <w:b w:val="0"/>
          <w:i w:val="0"/>
          <w:color w:val="000000"/>
          <w:sz w:val="22"/>
        </w:rPr>
        <w:t xml:space="preserve">Only </w:t>
      </w:r>
      <w:r>
        <w:rPr>
          <w:rFonts w:ascii="Calibri" w:hAnsi="Calibri"/>
          <w:b/>
          <w:i w:val="0"/>
          <w:color w:val="6B4E00"/>
          <w:sz w:val="19"/>
          <w:shd w:fill="FFF4CC"/>
        </w:rPr>
        <w:t>{{APPROVED_RECOUPABLE_COSTS}}</w:t>
      </w:r>
      <w:r>
        <w:rPr>
          <w:rFonts w:ascii="Calibri" w:hAnsi="Calibri"/>
          <w:b w:val="0"/>
          <w:i w:val="0"/>
          <w:color w:val="000000"/>
          <w:sz w:val="22"/>
        </w:rPr>
        <w:t xml:space="preserve"> are recoupable. The following are excluded: </w:t>
      </w:r>
      <w:r>
        <w:rPr>
          <w:rFonts w:ascii="Calibri" w:hAnsi="Calibri"/>
          <w:b/>
          <w:i w:val="0"/>
          <w:color w:val="6B4E00"/>
          <w:sz w:val="19"/>
          <w:shd w:fill="FFF4CC"/>
        </w:rPr>
        <w:t>{{EXCLUDED_DEDUCTIONS}}</w:t>
      </w:r>
      <w:r>
        <w:rPr>
          <w:rFonts w:ascii="Calibri" w:hAnsi="Calibri"/>
          <w:b w:val="0"/>
          <w:i w:val="0"/>
          <w:color w:val="000000"/>
          <w:sz w:val="22"/>
        </w:rPr>
        <w:t>. General overhead, internal salaries, unrelated legal fees, penalties caused by the Label, unapproved mark-ups, interest and costs of another artist or project are non-recoupable unless expressly itemised and separately initialled.</w:t>
      </w:r>
    </w:p>
    <w:p>
      <w:pPr>
        <w:keepLines/>
      </w:pPr>
      <w:r>
        <w:rPr>
          <w:rFonts w:ascii="Calibri" w:hAnsi="Calibri"/>
          <w:b w:val="0"/>
          <w:i w:val="0"/>
          <w:color w:val="000000"/>
          <w:sz w:val="22"/>
        </w:rPr>
        <w:t>Vendor refunds, rebates, credits, insurance proceeds and recoveries relating to a recouped cost shall reduce the recoupment balance or be credited to the Artist if the balance is already zero.</w:t>
      </w:r>
    </w:p>
    <w:p>
      <w:pPr>
        <w:pStyle w:val="Heading1"/>
      </w:pPr>
      <w:r>
        <w:rPr>
          <w:rFonts w:ascii="Calibri" w:hAnsi="Calibri"/>
          <w:b/>
          <w:i w:val="0"/>
          <w:color w:val="2E74B5"/>
          <w:sz w:val="32"/>
        </w:rPr>
        <w:t>6. Waterfall and allocation</w:t>
      </w:r>
    </w:p>
    <w:p>
      <w:pPr>
        <w:keepLines/>
      </w:pPr>
      <w:r>
        <w:rPr>
          <w:rFonts w:ascii="Calibri" w:hAnsi="Calibri"/>
          <w:b w:val="0"/>
          <w:i w:val="0"/>
          <w:color w:val="000000"/>
          <w:sz w:val="22"/>
        </w:rPr>
        <w:t xml:space="preserve">Project Receipts shall be applied in this order: </w:t>
      </w:r>
      <w:r>
        <w:rPr>
          <w:rFonts w:ascii="Calibri" w:hAnsi="Calibri"/>
          <w:b/>
          <w:i w:val="0"/>
          <w:color w:val="6B4E00"/>
          <w:sz w:val="19"/>
          <w:shd w:fill="FFF4CC"/>
        </w:rPr>
        <w:t>{{RECOUPMENT_WATERFALL}}</w:t>
      </w:r>
      <w:r>
        <w:rPr>
          <w:rFonts w:ascii="Calibri" w:hAnsi="Calibri"/>
          <w:b w:val="0"/>
          <w:i w:val="0"/>
          <w:color w:val="000000"/>
          <w:sz w:val="22"/>
        </w:rPr>
        <w:t xml:space="preserve">. The recovery percentage is </w:t>
      </w:r>
      <w:r>
        <w:rPr>
          <w:rFonts w:ascii="Calibri" w:hAnsi="Calibri"/>
          <w:b/>
          <w:i w:val="0"/>
          <w:color w:val="6B4E00"/>
          <w:sz w:val="19"/>
          <w:shd w:fill="FFF4CC"/>
        </w:rPr>
        <w:t>{{RECOUPMENT_PERCENTAGE}}</w:t>
      </w:r>
      <w:r>
        <w:rPr>
          <w:rFonts w:ascii="Calibri" w:hAnsi="Calibri"/>
          <w:b w:val="0"/>
          <w:i w:val="0"/>
          <w:color w:val="000000"/>
          <w:sz w:val="22"/>
        </w:rPr>
        <w:t xml:space="preserve"> of the selected receipts until the recoverable balance is zero, after which revenue is shared under </w:t>
      </w:r>
      <w:r>
        <w:rPr>
          <w:rFonts w:ascii="Calibri" w:hAnsi="Calibri"/>
          <w:b/>
          <w:i w:val="0"/>
          <w:color w:val="6B4E00"/>
          <w:sz w:val="19"/>
          <w:shd w:fill="FFF4CC"/>
        </w:rPr>
        <w:t>{{POST_RECOUPMENT_SPLIT}}</w:t>
      </w:r>
      <w:r>
        <w:rPr>
          <w:rFonts w:ascii="Calibri" w:hAnsi="Calibri"/>
          <w:b w:val="0"/>
          <w:i w:val="0"/>
          <w:color w:val="000000"/>
          <w:sz w:val="22"/>
        </w:rPr>
        <w:t>.</w:t>
      </w:r>
    </w:p>
    <w:p>
      <w:pPr>
        <w:keepLines/>
      </w:pPr>
      <w:r>
        <w:rPr>
          <w:rFonts w:ascii="Calibri" w:hAnsi="Calibri"/>
          <w:b w:val="0"/>
          <w:i w:val="0"/>
          <w:color w:val="000000"/>
          <w:sz w:val="22"/>
        </w:rPr>
        <w:t xml:space="preserve">Cross-collateralisation is </w:t>
      </w:r>
      <w:r>
        <w:rPr>
          <w:rFonts w:ascii="Calibri" w:hAnsi="Calibri"/>
          <w:b/>
          <w:i w:val="0"/>
          <w:color w:val="6B4E00"/>
          <w:sz w:val="19"/>
          <w:shd w:fill="FFF4CC"/>
        </w:rPr>
        <w:t>{{CROSS_COLLATERALISATION_RULE}}</w:t>
      </w:r>
      <w:r>
        <w:rPr>
          <w:rFonts w:ascii="Calibri" w:hAnsi="Calibri"/>
          <w:b w:val="0"/>
          <w:i w:val="0"/>
          <w:color w:val="000000"/>
          <w:sz w:val="22"/>
        </w:rPr>
        <w:t>. If prohibited, income and costs for this Project shall not be offset against another release, project, publishing account, touring income, merchandise, sponsorship, management income or unrelated catalogue.</w:t>
      </w:r>
    </w:p>
    <w:p>
      <w:pPr>
        <w:keepLines/>
      </w:pPr>
      <w:r>
        <w:rPr>
          <w:rFonts w:ascii="Calibri" w:hAnsi="Calibri"/>
          <w:b w:val="0"/>
          <w:i w:val="0"/>
          <w:color w:val="000000"/>
          <w:sz w:val="22"/>
        </w:rPr>
        <w:t>The worked example in Schedule 2 illustrates the intended calculation. If the example conflicts with an unambiguous negotiated percentage, the negotiated percentage controls, but the parties shall promptly correct the example in writing.</w:t>
      </w:r>
    </w:p>
    <w:p>
      <w:pPr>
        <w:pStyle w:val="Heading1"/>
      </w:pPr>
      <w:r>
        <w:rPr>
          <w:rFonts w:ascii="Calibri" w:hAnsi="Calibri"/>
          <w:b/>
          <w:i w:val="0"/>
          <w:color w:val="2E74B5"/>
          <w:sz w:val="32"/>
        </w:rPr>
        <w:t>7. Records, statements and challenge procedure</w:t>
      </w:r>
    </w:p>
    <w:p>
      <w:pPr>
        <w:keepLines/>
      </w:pPr>
      <w:r>
        <w:rPr>
          <w:rFonts w:ascii="Calibri" w:hAnsi="Calibri"/>
          <w:b w:val="0"/>
          <w:i w:val="0"/>
          <w:color w:val="000000"/>
          <w:sz w:val="22"/>
        </w:rPr>
        <w:t xml:space="preserve">The Label shall maintain a transaction-level ledger showing the opening balance, each approved cost, date, vendor, supporting-document reference, revenue source, recovery applied and closing balance. Statements shall be delivered </w:t>
      </w:r>
      <w:r>
        <w:rPr>
          <w:rFonts w:ascii="Calibri" w:hAnsi="Calibri"/>
          <w:b/>
          <w:i w:val="0"/>
          <w:color w:val="6B4E00"/>
          <w:sz w:val="19"/>
          <w:shd w:fill="FFF4CC"/>
        </w:rPr>
        <w:t>{{STATEMENT_FREQUENCY}}</w:t>
      </w:r>
      <w:r>
        <w:rPr>
          <w:rFonts w:ascii="Calibri" w:hAnsi="Calibri"/>
          <w:b w:val="0"/>
          <w:i w:val="0"/>
          <w:color w:val="000000"/>
          <w:sz w:val="22"/>
        </w:rPr>
        <w:t xml:space="preserve"> and undisputed sums paid within </w:t>
      </w:r>
      <w:r>
        <w:rPr>
          <w:rFonts w:ascii="Calibri" w:hAnsi="Calibri"/>
          <w:b/>
          <w:i w:val="0"/>
          <w:color w:val="6B4E00"/>
          <w:sz w:val="19"/>
          <w:shd w:fill="FFF4CC"/>
        </w:rPr>
        <w:t>{{PAYMENT_DAYS}}</w:t>
      </w:r>
      <w:r>
        <w:rPr>
          <w:rFonts w:ascii="Calibri" w:hAnsi="Calibri"/>
          <w:b w:val="0"/>
          <w:i w:val="0"/>
          <w:color w:val="000000"/>
          <w:sz w:val="22"/>
        </w:rPr>
        <w:t xml:space="preserve"> Business Days.</w:t>
      </w:r>
    </w:p>
    <w:p>
      <w:pPr>
        <w:keepLines/>
      </w:pPr>
      <w:r>
        <w:rPr>
          <w:rFonts w:ascii="Calibri" w:hAnsi="Calibri"/>
          <w:b w:val="0"/>
          <w:i w:val="0"/>
          <w:color w:val="000000"/>
          <w:sz w:val="22"/>
        </w:rPr>
        <w:t xml:space="preserve">The Artist may challenge a line item within </w:t>
      </w:r>
      <w:r>
        <w:rPr>
          <w:rFonts w:ascii="Calibri" w:hAnsi="Calibri"/>
          <w:b/>
          <w:i w:val="0"/>
          <w:color w:val="6B4E00"/>
          <w:sz w:val="19"/>
          <w:shd w:fill="FFF4CC"/>
        </w:rPr>
        <w:t>{{STATEMENT_OBJECTION_PERIOD}}</w:t>
      </w:r>
      <w:r>
        <w:rPr>
          <w:rFonts w:ascii="Calibri" w:hAnsi="Calibri"/>
          <w:b w:val="0"/>
          <w:i w:val="0"/>
          <w:color w:val="000000"/>
          <w:sz w:val="22"/>
        </w:rPr>
        <w:t xml:space="preserve"> after receipt, identifying the item and reason. Failure to object does not validate fraud or a deliberately concealed charge. Undisputed amounts shall not be withheld while a disputed item is reviewed.</w:t>
      </w:r>
    </w:p>
    <w:p>
      <w:pPr>
        <w:keepLines/>
      </w:pPr>
      <w:r>
        <w:rPr>
          <w:rFonts w:ascii="Calibri" w:hAnsi="Calibri"/>
          <w:b w:val="0"/>
          <w:i w:val="0"/>
          <w:color w:val="000000"/>
          <w:sz w:val="22"/>
        </w:rPr>
        <w:t>Once in any twelve-month period, the Artist may appoint an independent accountant to inspect relevant records on fifteen Business Days' notice. The Artist bears the cost unless an underpayment or improper deduction exceeding five per cent is found, in which case the Label shall reimburse reasonable audit cost.</w:t>
      </w:r>
    </w:p>
    <w:p>
      <w:pPr>
        <w:pStyle w:val="Heading1"/>
      </w:pPr>
      <w:r>
        <w:rPr>
          <w:rFonts w:ascii="Calibri" w:hAnsi="Calibri"/>
          <w:b/>
          <w:i w:val="0"/>
          <w:color w:val="2E74B5"/>
          <w:sz w:val="32"/>
        </w:rPr>
        <w:t>8. Taxes and currency</w:t>
      </w:r>
    </w:p>
    <w:p>
      <w:pPr>
        <w:keepLines/>
      </w:pPr>
      <w:r>
        <w:rPr>
          <w:rFonts w:ascii="Calibri" w:hAnsi="Calibri"/>
          <w:b w:val="0"/>
          <w:i w:val="0"/>
          <w:color w:val="000000"/>
          <w:sz w:val="22"/>
        </w:rPr>
        <w:t xml:space="preserve">Amounts are </w:t>
      </w:r>
      <w:r>
        <w:rPr>
          <w:rFonts w:ascii="Calibri" w:hAnsi="Calibri"/>
          <w:b/>
          <w:i w:val="0"/>
          <w:color w:val="6B4E00"/>
          <w:sz w:val="19"/>
          <w:shd w:fill="FFF4CC"/>
        </w:rPr>
        <w:t>{{VAT_TREATMENT}}</w:t>
      </w:r>
      <w:r>
        <w:rPr>
          <w:rFonts w:ascii="Calibri" w:hAnsi="Calibri"/>
          <w:b w:val="0"/>
          <w:i w:val="0"/>
          <w:color w:val="000000"/>
          <w:sz w:val="22"/>
        </w:rPr>
        <w:t xml:space="preserve">. Each party is responsible for its taxes. Required withholding may be deducted only with available supporting evidence. Foreign receipts shall be converted using </w:t>
      </w:r>
      <w:r>
        <w:rPr>
          <w:rFonts w:ascii="Calibri" w:hAnsi="Calibri"/>
          <w:b/>
          <w:i w:val="0"/>
          <w:color w:val="6B4E00"/>
          <w:sz w:val="19"/>
          <w:shd w:fill="FFF4CC"/>
        </w:rPr>
        <w:t>{{CURRENCY_CONVERSION_METHOD}}</w:t>
      </w:r>
      <w:r>
        <w:rPr>
          <w:rFonts w:ascii="Calibri" w:hAnsi="Calibri"/>
          <w:b w:val="0"/>
          <w:i w:val="0"/>
          <w:color w:val="000000"/>
          <w:sz w:val="22"/>
        </w:rPr>
        <w:t>, and actual bank or processor conversion charges may be deducted only if Schedule 1 permits them.</w:t>
      </w:r>
    </w:p>
    <w:p>
      <w:pPr>
        <w:pStyle w:val="Heading1"/>
      </w:pPr>
      <w:r>
        <w:rPr>
          <w:rFonts w:ascii="Calibri" w:hAnsi="Calibri"/>
          <w:b/>
          <w:i w:val="0"/>
          <w:color w:val="2E74B5"/>
          <w:sz w:val="32"/>
        </w:rPr>
        <w:t>9. Termination and final reconciliation</w:t>
      </w:r>
    </w:p>
    <w:p>
      <w:pPr>
        <w:keepLines/>
      </w:pPr>
      <w:r>
        <w:rPr>
          <w:rFonts w:ascii="Calibri" w:hAnsi="Calibri"/>
          <w:b w:val="0"/>
          <w:i w:val="0"/>
          <w:color w:val="000000"/>
          <w:sz w:val="22"/>
        </w:rPr>
        <w:t>Termination of the Main Agreement does not erase approved costs incurred before the effective termination date or the duty to account for later Project Receipts. No new cost may be incurred after termination except a reasonable wind-down cost authorised by the Main Agreement or written approval.</w:t>
      </w:r>
    </w:p>
    <w:p>
      <w:pPr>
        <w:keepLines/>
      </w:pPr>
      <w:r>
        <w:rPr>
          <w:rFonts w:ascii="Calibri" w:hAnsi="Calibri"/>
          <w:b w:val="0"/>
          <w:i w:val="0"/>
          <w:color w:val="000000"/>
          <w:sz w:val="22"/>
        </w:rPr>
        <w:t xml:space="preserve">A final reconciliation shall be issued within </w:t>
      </w:r>
      <w:r>
        <w:rPr>
          <w:rFonts w:ascii="Calibri" w:hAnsi="Calibri"/>
          <w:b/>
          <w:i w:val="0"/>
          <w:color w:val="6B4E00"/>
          <w:sz w:val="19"/>
          <w:shd w:fill="FFF4CC"/>
        </w:rPr>
        <w:t>{{FINAL_RECONCILIATION_DAYS}}</w:t>
      </w:r>
      <w:r>
        <w:rPr>
          <w:rFonts w:ascii="Calibri" w:hAnsi="Calibri"/>
          <w:b w:val="0"/>
          <w:i w:val="0"/>
          <w:color w:val="000000"/>
          <w:sz w:val="22"/>
        </w:rPr>
        <w:t xml:space="preserve"> Business Days after reasonably available final data, with later DSP or vendor corrections included in the next supplemental statement. Any unrecouped balance is treated according to </w:t>
      </w:r>
      <w:r>
        <w:rPr>
          <w:rFonts w:ascii="Calibri" w:hAnsi="Calibri"/>
          <w:b/>
          <w:i w:val="0"/>
          <w:color w:val="6B4E00"/>
          <w:sz w:val="19"/>
          <w:shd w:fill="FFF4CC"/>
        </w:rPr>
        <w:t>{{UNRECOUPED_BALANCE_TREATMENT}}</w:t>
      </w:r>
      <w:r>
        <w:rPr>
          <w:rFonts w:ascii="Calibri" w:hAnsi="Calibri"/>
          <w:b w:val="0"/>
          <w:i w:val="0"/>
          <w:color w:val="000000"/>
          <w:sz w:val="22"/>
        </w:rPr>
        <w:t>.</w:t>
      </w:r>
    </w:p>
    <w:p>
      <w:pPr>
        <w:pStyle w:val="Heading1"/>
      </w:pPr>
      <w:r>
        <w:rPr>
          <w:rFonts w:ascii="Calibri" w:hAnsi="Calibri"/>
          <w:b/>
          <w:i w:val="0"/>
          <w:color w:val="2E74B5"/>
          <w:sz w:val="32"/>
        </w:rPr>
        <w:t>10. Disputes, electronic signature and general terms</w:t>
      </w:r>
    </w:p>
    <w:p>
      <w:pPr>
        <w:keepLines/>
      </w:pPr>
      <w:r>
        <w:rPr>
          <w:rFonts w:ascii="Calibri" w:hAnsi="Calibri"/>
          <w:b w:val="0"/>
          <w:i w:val="0"/>
          <w:color w:val="000000"/>
          <w:sz w:val="22"/>
        </w:rPr>
        <w:t xml:space="preserve">The governing-law, notice, dispute-resolution, confidentiality, assignment and general provisions of the Main Agreement apply to this Addendum. If the Main Agreement contains none, this Addendum is governed by the laws of the Republic of Trinidad and Tobago and disputes shall follow </w:t>
      </w:r>
      <w:r>
        <w:rPr>
          <w:rFonts w:ascii="Calibri" w:hAnsi="Calibri"/>
          <w:b/>
          <w:i w:val="0"/>
          <w:color w:val="6B4E00"/>
          <w:sz w:val="19"/>
          <w:shd w:fill="FFF4CC"/>
        </w:rPr>
        <w:t>{{DISPUTE_RESOLUTION_CLAUSE}}</w:t>
      </w:r>
      <w:r>
        <w:rPr>
          <w:rFonts w:ascii="Calibri" w:hAnsi="Calibri"/>
          <w:b w:val="0"/>
          <w:i w:val="0"/>
          <w:color w:val="000000"/>
          <w:sz w:val="22"/>
        </w:rPr>
        <w:t>.</w:t>
      </w:r>
    </w:p>
    <w:p>
      <w:pPr>
        <w:keepLines/>
      </w:pPr>
      <w:r>
        <w:rPr>
          <w:rFonts w:ascii="Calibri" w:hAnsi="Calibri"/>
          <w:b w:val="0"/>
          <w:i w:val="0"/>
          <w:color w:val="000000"/>
          <w:sz w:val="22"/>
        </w:rPr>
        <w:t>The parties consent to counterparts, accessible electronic records and reliable electronic signatures under the Electronic Transactions Act, Chap. 22:05. A variation must be written and signed by both parties. Each party confirms a reasonable opportunity to obtain independent legal, accounting and tax advice.</w:t>
      </w:r>
    </w:p>
    <w:p>
      <w:pPr>
        <w:pStyle w:val="Heading1"/>
      </w:pPr>
      <w:r>
        <w:rPr>
          <w:rFonts w:ascii="Calibri" w:hAnsi="Calibri"/>
          <w:b/>
          <w:i w:val="0"/>
          <w:color w:val="2E74B5"/>
          <w:sz w:val="32"/>
        </w:rPr>
        <w:t>Schedule 1 - Budget, Advance and Cost Classification</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vAlign w:val="center"/>
            <w:tcMar>
              <w:top w:w="100" w:type="dxa"/>
              <w:start w:w="120" w:type="dxa"/>
              <w:bottom w:w="100" w:type="dxa"/>
              <w:end w:w="120" w:type="dxa"/>
            </w:tcMar>
          </w:tcPr>
          <w:p>
            <w:r>
              <w:rPr>
                <w:rFonts w:ascii="Calibri" w:hAnsi="Calibri"/>
                <w:b/>
                <w:i w:val="0"/>
                <w:color w:val="0B2545"/>
                <w:sz w:val="19"/>
              </w:rPr>
              <w:t>Field</w:t>
            </w:r>
          </w:p>
        </w:tc>
        <w:tc>
          <w:tcPr>
            <w:tcW w:type="dxa" w:w="6860"/>
            <w:shd w:fill="E8EEF5"/>
            <w:vAlign w:val="center"/>
            <w:tcMar>
              <w:top w:w="100" w:type="dxa"/>
              <w:start w:w="120" w:type="dxa"/>
              <w:bottom w:w="100" w:type="dxa"/>
              <w:end w:w="120" w:type="dxa"/>
            </w:tcMar>
          </w:tcPr>
          <w:p>
            <w:r>
              <w:rPr>
                <w:rFonts w:ascii="Calibri" w:hAnsi="Calibri"/>
                <w:b/>
                <w:i w:val="0"/>
                <w:color w:val="0B2545"/>
                <w:sz w:val="19"/>
              </w:rPr>
              <w:t>Selected term / information</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Main Agreement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{{UNDERLYING_AGREEMENT_TITLE}}</w:t>
            </w:r>
            <w:r>
              <w:rPr>
                <w:rFonts w:ascii="Calibri" w:hAnsi="Calibri"/>
                <w:b w:val="0"/>
                <w:i w:val="0"/>
                <w:color w:val="000000"/>
                <w:sz w:val="19"/>
              </w:rPr>
              <w:t xml:space="preserve"> dated </w:t>
            </w:r>
            <w:r>
              <w:rPr>
                <w:rFonts w:ascii="Calibri" w:hAnsi="Calibri"/>
                <w:b/>
                <w:i w:val="0"/>
                <w:color w:val="6B4E00"/>
                <w:sz w:val="19"/>
                <w:shd w:fill="FFF4CC"/>
              </w:rPr>
              <w:t>{{UNDERLYING_AGREEMENT_DATE}}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Project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{{PROJECT_TITLE}}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Currency</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{{CURRENCY}}</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Approved budget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{{APPROVED_PROJECT_BUDGET}}</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Budget categories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{{PROJECT_BUDGET_CATEGORIES}}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Artist advance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{{ARTIST_ADVANCE_AMOUNT}}</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Advance payment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{{ADVANCE_PAYMENT_SCHEDULE}}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Payment conditions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{{ADVANCE_PAYMENT_CONDITIONS}}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Advance status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{{ADVANCE_RECOUPMENT_STATUS}}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Approved recoupable costs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{{APPROVED_RECOUPABLE_COSTS}}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Non-recoupable / excluded</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{{EXCLUDED_DEDUCTIONS}}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Overrun approver</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{{BUDGET_OVERRUN_APPROVER}}</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VAT treatment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{{VAT_TREATMENT}}</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Conversion method</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{{CURRENCY_CONVERSION_METHOD}}</w:t>
            </w:r>
          </w:p>
        </w:tc>
      </w:tr>
    </w:tbl>
    <w:p>
      <w:r>
        <w:br w:type="page"/>
      </w:r>
    </w:p>
    <w:p>
      <w:pPr>
        <w:pStyle w:val="Heading1"/>
      </w:pPr>
      <w:r>
        <w:rPr>
          <w:rFonts w:ascii="Calibri" w:hAnsi="Calibri"/>
          <w:b/>
          <w:i w:val="0"/>
          <w:color w:val="2E74B5"/>
          <w:sz w:val="32"/>
        </w:rPr>
        <w:t>Schedule 2 - Recoupment Waterfall and Worked Example</w:t>
      </w:r>
    </w:p>
    <w:p>
      <w:r>
        <w:rPr>
          <w:rFonts w:ascii="Calibri" w:hAnsi="Calibri"/>
          <w:b w:val="0"/>
          <w:i w:val="0"/>
          <w:color w:val="5F6B7A"/>
          <w:sz w:val="20"/>
        </w:rPr>
        <w:t>The generator should calculate the worked example from the form values so both parties can see the practical result before signing.</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vAlign w:val="center"/>
            <w:tcMar>
              <w:top w:w="100" w:type="dxa"/>
              <w:start w:w="120" w:type="dxa"/>
              <w:bottom w:w="100" w:type="dxa"/>
              <w:end w:w="120" w:type="dxa"/>
            </w:tcMar>
          </w:tcPr>
          <w:p>
            <w:r>
              <w:rPr>
                <w:rFonts w:ascii="Calibri" w:hAnsi="Calibri"/>
                <w:b/>
                <w:i w:val="0"/>
                <w:color w:val="0B2545"/>
                <w:sz w:val="19"/>
              </w:rPr>
              <w:t>Field</w:t>
            </w:r>
          </w:p>
        </w:tc>
        <w:tc>
          <w:tcPr>
            <w:tcW w:type="dxa" w:w="6860"/>
            <w:shd w:fill="E8EEF5"/>
            <w:vAlign w:val="center"/>
            <w:tcMar>
              <w:top w:w="100" w:type="dxa"/>
              <w:start w:w="120" w:type="dxa"/>
              <w:bottom w:w="100" w:type="dxa"/>
              <w:end w:w="120" w:type="dxa"/>
            </w:tcMar>
          </w:tcPr>
          <w:p>
            <w:r>
              <w:rPr>
                <w:rFonts w:ascii="Calibri" w:hAnsi="Calibri"/>
                <w:b/>
                <w:i w:val="0"/>
                <w:color w:val="0B2545"/>
                <w:sz w:val="19"/>
              </w:rPr>
              <w:t>Selected term / information</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Selected revenue sources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{{RECOUPMENT_REVENUE_SOURCES}}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Recovery percentage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{{RECOUPMENT_PERCENTAGE}}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Waterfall</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{{RECOUPMENT_WATERFALL}}</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Post-recoupment split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{{POST_RECOUPMENT_SPLIT}}</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Cross-collateralisation</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{{CROSS_COLLATERALISATION_RULE}}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Opening recoverable balance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{{WORKED_EXAMPLE_OPENING_BALANCE}}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Example gross receipts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{{WORKED_EXAMPLE_GROSS_RECEIPTS}}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Example permitted deductions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{{WORKED_EXAMPLE_DEDUCTIONS}}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Example recovery applied</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{{WORKED_EXAMPLE_RECOVERY}}</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Example Artist payment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{{WORKED_EXAMPLE_ARTIST_PAYMENT}}</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Example closing balance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{{WORKED_EXAMPLE_CLOSING_BALANCE}}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Unrecouped balance at end</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{{UNRECOUPED_BALANCE_TREATMENT}}</w:t>
            </w:r>
          </w:p>
        </w:tc>
      </w:tr>
    </w:tbl>
    <w:p>
      <w:r>
        <w:br w:type="page"/>
      </w:r>
    </w:p>
    <w:p>
      <w:pPr>
        <w:pStyle w:val="Heading1"/>
      </w:pPr>
      <w:r>
        <w:rPr>
          <w:rFonts w:ascii="Calibri" w:hAnsi="Calibri"/>
          <w:b/>
          <w:i w:val="0"/>
          <w:color w:val="2E74B5"/>
          <w:sz w:val="32"/>
        </w:rPr>
        <w:t>Execution</w:t>
      </w:r>
    </w:p>
    <w:p>
      <w:r>
        <w:rPr>
          <w:rFonts w:ascii="Calibri" w:hAnsi="Calibri"/>
          <w:b w:val="0"/>
          <w:i w:val="0"/>
          <w:color w:val="000000"/>
          <w:sz w:val="22"/>
        </w:rPr>
        <w:t>Each signatory confirms that they are authorised to sign, had a reasonable opportunity to obtain independent legal advice, understand the agreement and intend to be legally bound. The parties consent to counterparts and reliable electronic signatures.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shd w:fill="E8EEF5"/>
            <w:vAlign w:val="center"/>
            <w:tcMar>
              <w:top w:w="100" w:type="dxa"/>
              <w:start w:w="120" w:type="dxa"/>
              <w:bottom w:w="100" w:type="dxa"/>
              <w:end w:w="120" w:type="dxa"/>
            </w:tcMar>
          </w:tcPr>
          <w:p>
            <w:r>
              <w:rPr>
                <w:rFonts w:ascii="Calibri" w:hAnsi="Calibri"/>
                <w:b/>
                <w:i w:val="0"/>
                <w:color w:val="0B2545"/>
                <w:sz w:val="20"/>
              </w:rPr>
              <w:t>For the Label</w:t>
            </w:r>
          </w:p>
        </w:tc>
        <w:tc>
          <w:tcPr>
            <w:tcW w:type="dxa" w:w="4680"/>
            <w:shd w:fill="E8EEF5"/>
            <w:vAlign w:val="center"/>
            <w:tcMar>
              <w:top w:w="100" w:type="dxa"/>
              <w:start w:w="120" w:type="dxa"/>
              <w:bottom w:w="100" w:type="dxa"/>
              <w:end w:w="120" w:type="dxa"/>
            </w:tcMar>
          </w:tcPr>
          <w:p>
            <w:r>
              <w:rPr>
                <w:rFonts w:ascii="Calibri" w:hAnsi="Calibri"/>
                <w:b/>
                <w:i w:val="0"/>
                <w:color w:val="0B2545"/>
                <w:sz w:val="20"/>
              </w:rPr>
              <w:t>Artist</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Legal name: </w:t>
            </w:r>
            <w:r>
              <w:rPr>
                <w:rFonts w:ascii="Calibri" w:hAnsi="Calibri"/>
                <w:b/>
                <w:i w:val="0"/>
                <w:color w:val="6B4E00"/>
                <w:sz w:val="19"/>
                <w:shd w:fill="FFF4CC"/>
              </w:rPr>
              <w:t>{{LABEL_LEGAL_NAME}}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Legal name: </w:t>
            </w:r>
            <w:r>
              <w:rPr>
                <w:rFonts w:ascii="Calibri" w:hAnsi="Calibri"/>
                <w:b/>
                <w:i w:val="0"/>
                <w:color w:val="6B4E00"/>
                <w:sz w:val="19"/>
                <w:shd w:fill="FFF4CC"/>
              </w:rPr>
              <w:t>{{ARTIST_LEGAL_NAME}}</w:t>
            </w:r>
            <w:r>
              <w:rPr>
                <w:rFonts w:ascii="Calibri" w:hAnsi="Calibri"/>
                <w:b w:val="0"/>
                <w:i w:val="0"/>
                <w:color w:val="000000"/>
                <w:sz w:val="19"/>
              </w:rPr>
              <w:t xml:space="preserve"> / </w:t>
            </w:r>
            <w:r>
              <w:rPr>
                <w:rFonts w:ascii="Calibri" w:hAnsi="Calibri"/>
                <w:b/>
                <w:i w:val="0"/>
                <w:color w:val="6B4E00"/>
                <w:sz w:val="19"/>
                <w:shd w:fill="FFF4CC"/>
              </w:rPr>
              <w:t>{{ARTIST_STAGE_NAME}}</w:t>
            </w:r>
          </w:p>
        </w:tc>
      </w:tr>
      <w:tr>
        <w:trPr>
          <w:cantSplit/>
        </w:trPr>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Signature: </w:t>
            </w:r>
          </w:p>
        </w:tc>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Signature: </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Name: </w:t>
            </w:r>
            <w:r>
              <w:rPr>
                <w:rFonts w:ascii="Calibri" w:hAnsi="Calibri"/>
                <w:b/>
                <w:i w:val="0"/>
                <w:color w:val="6B4E00"/>
                <w:sz w:val="19"/>
                <w:shd w:fill="FFF4CC"/>
              </w:rPr>
              <w:t>{{LABEL_SIGNATORY_NAME}}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Name: </w:t>
            </w:r>
            <w:r>
              <w:rPr>
                <w:rFonts w:ascii="Calibri" w:hAnsi="Calibri"/>
                <w:b/>
                <w:i w:val="0"/>
                <w:color w:val="6B4E00"/>
                <w:sz w:val="19"/>
                <w:shd w:fill="FFF4CC"/>
              </w:rPr>
              <w:t>{{ARTIST_LEGAL_NAME}}</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Title: </w:t>
            </w:r>
            <w:r>
              <w:rPr>
                <w:rFonts w:ascii="Calibri" w:hAnsi="Calibri"/>
                <w:b/>
                <w:i w:val="0"/>
                <w:color w:val="6B4E00"/>
                <w:sz w:val="19"/>
                <w:shd w:fill="FFF4CC"/>
              </w:rPr>
              <w:t>{{LABEL_SIGNATORY_TITLE}}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Title: Artist</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Date: </w:t>
            </w:r>
            <w:r>
              <w:rPr>
                <w:rFonts w:ascii="Calibri" w:hAnsi="Calibri"/>
                <w:b/>
                <w:i w:val="0"/>
                <w:color w:val="6B4E00"/>
                <w:sz w:val="19"/>
                <w:shd w:fill="FFF4CC"/>
              </w:rPr>
              <w:t>{{LABEL_SIGNATURE_DATE}}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Date: </w:t>
            </w:r>
            <w:r>
              <w:rPr>
                <w:rFonts w:ascii="Calibri" w:hAnsi="Calibri"/>
                <w:b/>
                <w:i w:val="0"/>
                <w:color w:val="6B4E00"/>
                <w:sz w:val="19"/>
                <w:shd w:fill="FFF4CC"/>
              </w:rPr>
              <w:t>{{ARTIST_SIGNATURE_DATE}}</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Witness name: </w:t>
            </w:r>
            <w:r>
              <w:rPr>
                <w:rFonts w:ascii="Calibri" w:hAnsi="Calibri"/>
                <w:b/>
                <w:i w:val="0"/>
                <w:color w:val="6B4E00"/>
                <w:sz w:val="19"/>
                <w:shd w:fill="FFF4CC"/>
              </w:rPr>
              <w:t>{{LABEL_WITNESS_NAME}}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Witness name: </w:t>
            </w:r>
            <w:r>
              <w:rPr>
                <w:rFonts w:ascii="Calibri" w:hAnsi="Calibri"/>
                <w:b/>
                <w:i w:val="0"/>
                <w:color w:val="6B4E00"/>
                <w:sz w:val="19"/>
                <w:shd w:fill="FFF4CC"/>
              </w:rPr>
              <w:t>{{ARTIST_WITNESS_NAME}}</w:t>
            </w:r>
          </w:p>
        </w:tc>
      </w:tr>
      <w:tr>
        <w:trPr>
          <w:cantSplit/>
        </w:trPr>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Witness signature: </w:t>
            </w:r>
          </w:p>
        </w:tc>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Witness signature: </w:t>
            </w:r>
          </w:p>
        </w:tc>
      </w:tr>
    </w:tbl>
    <w:p>
      <w:pPr>
        <w:spacing w:before="240"/>
      </w:pPr>
      <w:r>
        <w:rPr>
          <w:rFonts w:ascii="Calibri" w:hAnsi="Calibri"/>
          <w:b w:val="0"/>
          <w:i/>
          <w:color w:val="5F6B7A"/>
          <w:sz w:val="19"/>
        </w:rPr>
        <w:t>Minor-artist safeguard: if the Artist is under eighteen years of age or otherwise lacks full contractual capacity, stop this generator and obtain an attorney-prepared parent/guardian consent and court/other approval where legally required.</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7"/>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val="0"/>
        <w:i w:val="0"/>
        <w:color w:val="5F6B7A"/>
        <w:sz w:val="17"/>
      </w:rPr>
      <w:t>TP-CAMP CONTRACT TEMPLATE  |  BUDGET / ADVANCE / RECOUPMENT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Budget, Artist Advance and Recoupment Addendum</dc:title>
  <dc:subject>Editable Trinidad and Tobago music agreement template</dc:subject>
  <dc:creator>TP-CAMP Contract Generator</dc:creator>
  <cp:keywords>Trinidad and Tobago, music contract, artist, label, template</cp:keywords>
  <dc:description>generated by python-docx</dc:description>
  <cp:lastModifiedBy/>
  <cp:revision>1</cp:revision>
  <dcterms:created xsi:type="dcterms:W3CDTF">2013-12-23T23:15:00Z</dcterms:created>
  <dcterms:modified xsi:type="dcterms:W3CDTF">2013-12-23T23:15:00Z</dcterms:modified>
  <cp:category/>
</cp:coreProperties>
</file>