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2E74B5"/>
          <w:sz w:val="19"/>
        </w:rPr>
        <w:t>TRINIDAD AND TOBAGO TEMPLATE</w:t>
      </w:r>
    </w:p>
    <w:p>
      <w:pPr>
        <w:spacing w:after="120"/>
      </w:pPr>
      <w:r>
        <w:rPr>
          <w:rFonts w:ascii="Calibri" w:hAnsi="Calibri"/>
          <w:b/>
          <w:i w:val="0"/>
          <w:color w:val="0B2545"/>
          <w:sz w:val="50"/>
        </w:rPr>
        <w:t>Artist Management Agreement</w:t>
      </w:r>
    </w:p>
    <w:p>
      <w:pPr>
        <w:spacing w:after="280"/>
      </w:pPr>
      <w:r>
        <w:rPr>
          <w:rFonts w:ascii="Calibri" w:hAnsi="Calibri"/>
          <w:b w:val="0"/>
          <w:i w:val="0"/>
          <w:color w:val="5F6B7A"/>
          <w:sz w:val="25"/>
        </w:rPr>
        <w:t>Career-management agreement with authority limits, commission definitions, expense controls, key-person protection and sunset terms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Template ID</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TT-AMA-07</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Contracting parties</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{{LABEL_LEGAL_NAME}}</w:t>
            </w:r>
            <w:r>
              <w:rPr>
                <w:rFonts w:ascii="Calibri" w:hAnsi="Calibri"/>
                <w:b w:val="0"/>
                <w:i w:val="0"/>
                <w:color w:val="000000"/>
                <w:sz w:val="19"/>
              </w:rPr>
              <w:t xml:space="preserve"> and </w:t>
            </w:r>
            <w:r>
              <w:rPr>
                <w:rFonts w:ascii="Calibri" w:hAnsi="Calibri"/>
                <w:b/>
                <w:i w:val="0"/>
                <w:color w:val="6B4E00"/>
                <w:sz w:val="19"/>
                <w:shd w:fill="FFF4CC"/>
              </w:rPr>
              <w:t>{{ARTIST_LEGAL_NAME}}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Effective date</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{{EFFECTIVE_DATE}}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Governing law</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Republic of Trinidad and Tobago</w:t>
            </w:r>
          </w:p>
        </w:tc>
      </w:tr>
    </w:tbl>
    <w:p>
      <w:pPr>
        <w:spacing w:before="240" w:after="240"/>
        <w:pBdr>
          <w:bottom w:val="single" w:sz="8" w:space="6" w:color="2E74B5"/>
        </w:pBdr>
      </w:pPr>
      <w:r>
        <w:rPr>
          <w:rFonts w:ascii="Calibri" w:hAnsi="Calibri"/>
          <w:b w:val="0"/>
          <w:i/>
          <w:color w:val="5F6B7A"/>
          <w:sz w:val="19"/>
        </w:rPr>
        <w:t>Important template notice. This document is a drafting aid, not legal advice. Have a Trinidad and Tobago attorney review the completed agreement, the parties' legal capacity, tax treatment, CMO mandates and all negotiated commercial terms before signature.</w:t>
      </w:r>
    </w:p>
    <w:p>
      <w:pPr>
        <w:pStyle w:val="Heading1"/>
      </w:pPr>
      <w:r>
        <w:rPr>
          <w:rFonts w:ascii="Calibri" w:hAnsi="Calibri"/>
          <w:b/>
          <w:i w:val="0"/>
          <w:color w:val="2E74B5"/>
          <w:sz w:val="32"/>
        </w:rPr>
        <w:t>Agreement</w:t>
      </w:r>
    </w:p>
    <w:p>
      <w:pPr>
        <w:keepLines/>
      </w:pPr>
      <w:r>
        <w:rPr>
          <w:rFonts w:ascii="Calibri" w:hAnsi="Calibri"/>
          <w:b w:val="0"/>
          <w:i w:val="0"/>
          <w:color w:val="000000"/>
          <w:sz w:val="22"/>
        </w:rPr>
        <w:t xml:space="preserve">This Agreement is made on </w:t>
      </w:r>
      <w:r>
        <w:rPr>
          <w:rFonts w:ascii="Calibri" w:hAnsi="Calibri"/>
          <w:b/>
          <w:i w:val="0"/>
          <w:color w:val="6B4E00"/>
          <w:sz w:val="19"/>
          <w:shd w:fill="FFF4CC"/>
        </w:rPr>
        <w:t>{{EFFECTIVE_DATE}}</w:t>
      </w:r>
      <w:r>
        <w:rPr>
          <w:rFonts w:ascii="Calibri" w:hAnsi="Calibri"/>
          <w:b w:val="0"/>
          <w:i w:val="0"/>
          <w:color w:val="000000"/>
          <w:sz w:val="22"/>
        </w:rPr>
        <w:t xml:space="preserve"> between </w:t>
      </w:r>
      <w:r>
        <w:rPr>
          <w:rFonts w:ascii="Calibri" w:hAnsi="Calibri"/>
          <w:b/>
          <w:i w:val="0"/>
          <w:color w:val="6B4E00"/>
          <w:sz w:val="19"/>
          <w:shd w:fill="FFF4CC"/>
        </w:rPr>
        <w:t>{{LABEL_LEGAL_NAME}}</w:t>
      </w:r>
      <w:r>
        <w:rPr>
          <w:rFonts w:ascii="Calibri" w:hAnsi="Calibri"/>
          <w:b w:val="0"/>
          <w:i w:val="0"/>
          <w:color w:val="000000"/>
          <w:sz w:val="22"/>
        </w:rPr>
        <w:t xml:space="preserve">, a </w:t>
      </w:r>
      <w:r>
        <w:rPr>
          <w:rFonts w:ascii="Calibri" w:hAnsi="Calibri"/>
          <w:b/>
          <w:i w:val="0"/>
          <w:color w:val="6B4E00"/>
          <w:sz w:val="19"/>
          <w:shd w:fill="FFF4CC"/>
        </w:rPr>
        <w:t>{{LABEL_ENTITY_TYPE}}</w:t>
      </w:r>
      <w:r>
        <w:rPr>
          <w:rFonts w:ascii="Calibri" w:hAnsi="Calibri"/>
          <w:b w:val="0"/>
          <w:i w:val="0"/>
          <w:color w:val="000000"/>
          <w:sz w:val="22"/>
        </w:rPr>
        <w:t xml:space="preserve"> organised or registered under the laws of </w:t>
      </w:r>
      <w:r>
        <w:rPr>
          <w:rFonts w:ascii="Calibri" w:hAnsi="Calibri"/>
          <w:b/>
          <w:i w:val="0"/>
          <w:color w:val="6B4E00"/>
          <w:sz w:val="19"/>
          <w:shd w:fill="FFF4CC"/>
        </w:rPr>
        <w:t>{{LABEL_JURISDICTION}}</w:t>
      </w:r>
      <w:r>
        <w:rPr>
          <w:rFonts w:ascii="Calibri" w:hAnsi="Calibri"/>
          <w:b w:val="0"/>
          <w:i w:val="0"/>
          <w:color w:val="000000"/>
          <w:sz w:val="22"/>
        </w:rPr>
        <w:t xml:space="preserve">, registration number </w:t>
      </w:r>
      <w:r>
        <w:rPr>
          <w:rFonts w:ascii="Calibri" w:hAnsi="Calibri"/>
          <w:b/>
          <w:i w:val="0"/>
          <w:color w:val="6B4E00"/>
          <w:sz w:val="19"/>
          <w:shd w:fill="FFF4CC"/>
        </w:rPr>
        <w:t>{{LABEL_REGISTRATION_NUMBER}}</w:t>
      </w:r>
      <w:r>
        <w:rPr>
          <w:rFonts w:ascii="Calibri" w:hAnsi="Calibri"/>
          <w:b w:val="0"/>
          <w:i w:val="0"/>
          <w:color w:val="000000"/>
          <w:sz w:val="22"/>
        </w:rPr>
        <w:t xml:space="preserve">, with its principal business address at </w:t>
      </w:r>
      <w:r>
        <w:rPr>
          <w:rFonts w:ascii="Calibri" w:hAnsi="Calibri"/>
          <w:b/>
          <w:i w:val="0"/>
          <w:color w:val="6B4E00"/>
          <w:sz w:val="19"/>
          <w:shd w:fill="FFF4CC"/>
        </w:rPr>
        <w:t>{{LABEL_ADDRESS}}</w:t>
      </w:r>
      <w:r>
        <w:rPr>
          <w:rFonts w:ascii="Calibri" w:hAnsi="Calibri"/>
          <w:b w:val="0"/>
          <w:i w:val="0"/>
          <w:color w:val="000000"/>
          <w:sz w:val="22"/>
        </w:rPr>
        <w:t xml:space="preserve"> (the "Label"), and </w:t>
      </w:r>
      <w:r>
        <w:rPr>
          <w:rFonts w:ascii="Calibri" w:hAnsi="Calibri"/>
          <w:b/>
          <w:i w:val="0"/>
          <w:color w:val="6B4E00"/>
          <w:sz w:val="19"/>
          <w:shd w:fill="FFF4CC"/>
        </w:rPr>
        <w:t>{{ARTIST_LEGAL_NAME}}</w:t>
      </w:r>
      <w:r>
        <w:rPr>
          <w:rFonts w:ascii="Calibri" w:hAnsi="Calibri"/>
          <w:b w:val="0"/>
          <w:i w:val="0"/>
          <w:color w:val="000000"/>
          <w:sz w:val="22"/>
        </w:rPr>
        <w:t xml:space="preserve">, professionally known as </w:t>
      </w:r>
      <w:r>
        <w:rPr>
          <w:rFonts w:ascii="Calibri" w:hAnsi="Calibri"/>
          <w:b/>
          <w:i w:val="0"/>
          <w:color w:val="6B4E00"/>
          <w:sz w:val="19"/>
          <w:shd w:fill="FFF4CC"/>
        </w:rPr>
        <w:t>{{ARTIST_STAGE_NAME}}</w:t>
      </w:r>
      <w:r>
        <w:rPr>
          <w:rFonts w:ascii="Calibri" w:hAnsi="Calibri"/>
          <w:b w:val="0"/>
          <w:i w:val="0"/>
          <w:color w:val="000000"/>
          <w:sz w:val="22"/>
        </w:rPr>
        <w:t xml:space="preserve">, of </w:t>
      </w:r>
      <w:r>
        <w:rPr>
          <w:rFonts w:ascii="Calibri" w:hAnsi="Calibri"/>
          <w:b/>
          <w:i w:val="0"/>
          <w:color w:val="6B4E00"/>
          <w:sz w:val="19"/>
          <w:shd w:fill="FFF4CC"/>
        </w:rPr>
        <w:t>{{ARTIST_ADDRESS}}</w:t>
      </w:r>
      <w:r>
        <w:rPr>
          <w:rFonts w:ascii="Calibri" w:hAnsi="Calibri"/>
          <w:b w:val="0"/>
          <w:i w:val="0"/>
          <w:color w:val="000000"/>
          <w:sz w:val="22"/>
        </w:rPr>
        <w:t xml:space="preserve"> (the "Artist").</w:t>
      </w:r>
    </w:p>
    <w:p>
      <w:pPr>
        <w:keepLines/>
      </w:pPr>
      <w:r>
        <w:rPr>
          <w:rFonts w:ascii="Calibri" w:hAnsi="Calibri"/>
          <w:b w:val="0"/>
          <w:i w:val="0"/>
          <w:color w:val="000000"/>
          <w:sz w:val="22"/>
        </w:rPr>
        <w:t>The Artist wishes to appoint the Label, acting in this Agreement as the "Manager", to advise and coordinate selected aspects of the Artist's entertainment career.</w:t>
      </w:r>
    </w:p>
    <w:p>
      <w:pPr>
        <w:keepLines/>
      </w:pPr>
      <w:r>
        <w:rPr>
          <w:rFonts w:ascii="Calibri" w:hAnsi="Calibri"/>
          <w:b w:val="0"/>
          <w:i w:val="0"/>
          <w:color w:val="000000"/>
          <w:sz w:val="22"/>
        </w:rPr>
        <w:t>The parties wish to define the Manager's authority, exclusivity, commissionable income, exclusions, expenses, conflicts, post-term commission and the Artist's right to independent professional advice.</w:t>
      </w:r>
    </w:p>
    <w:p>
      <w:r>
        <w:rPr>
          <w:rFonts w:ascii="Calibri" w:hAnsi="Calibri"/>
          <w:b/>
          <w:i w:val="0"/>
          <w:color w:val="000000"/>
          <w:sz w:val="22"/>
        </w:rPr>
        <w:t>The parties therefore agree as follows:</w:t>
      </w:r>
    </w:p>
    <w:p>
      <w:pPr>
        <w:pStyle w:val="Heading1"/>
      </w:pPr>
      <w:r>
        <w:rPr>
          <w:rFonts w:ascii="Calibri" w:hAnsi="Calibri"/>
          <w:b/>
          <w:i w:val="0"/>
          <w:color w:val="2E74B5"/>
          <w:sz w:val="32"/>
        </w:rPr>
        <w:t>1. Definitions and interpretation</w:t>
      </w:r>
    </w:p>
    <w:p>
      <w:pPr>
        <w:keepLines/>
        <w:ind w:left="259" w:hanging="259"/>
      </w:pPr>
      <w:r>
        <w:rPr>
          <w:rFonts w:ascii="Calibri" w:hAnsi="Calibri"/>
          <w:b/>
          <w:i w:val="0"/>
          <w:color w:val="000000"/>
          <w:sz w:val="22"/>
        </w:rPr>
        <w:t xml:space="preserve">Agreement. </w:t>
      </w:r>
      <w:r>
        <w:rPr>
          <w:rFonts w:ascii="Calibri" w:hAnsi="Calibri"/>
          <w:b w:val="0"/>
          <w:i w:val="0"/>
          <w:color w:val="000000"/>
          <w:sz w:val="22"/>
        </w:rPr>
        <w:t>this agreement, its completed schedules and every signed written amendment.</w:t>
      </w:r>
    </w:p>
    <w:p>
      <w:pPr>
        <w:keepLines/>
        <w:ind w:left="259" w:hanging="259"/>
      </w:pPr>
      <w:r>
        <w:rPr>
          <w:rFonts w:ascii="Calibri" w:hAnsi="Calibri"/>
          <w:b/>
          <w:i w:val="0"/>
          <w:color w:val="000000"/>
          <w:sz w:val="22"/>
        </w:rPr>
        <w:t xml:space="preserve">Artist Materials. </w:t>
      </w:r>
      <w:r>
        <w:rPr>
          <w:rFonts w:ascii="Calibri" w:hAnsi="Calibri"/>
          <w:b w:val="0"/>
          <w:i w:val="0"/>
          <w:color w:val="000000"/>
          <w:sz w:val="22"/>
        </w:rPr>
        <w:t>the Artist's approved name, professional name, biography, image, likeness, logos, approved photographs, audio-visual content and other promotional materials supplied for the agreed services.</w:t>
      </w:r>
    </w:p>
    <w:p>
      <w:pPr>
        <w:keepLines/>
        <w:ind w:left="259" w:hanging="259"/>
      </w:pPr>
      <w:r>
        <w:rPr>
          <w:rFonts w:ascii="Calibri" w:hAnsi="Calibri"/>
          <w:b/>
          <w:i w:val="0"/>
          <w:color w:val="000000"/>
          <w:sz w:val="22"/>
        </w:rPr>
        <w:t xml:space="preserve">Net Receipts. </w:t>
      </w:r>
      <w:r>
        <w:rPr>
          <w:rFonts w:ascii="Calibri" w:hAnsi="Calibri"/>
          <w:b w:val="0"/>
          <w:i w:val="0"/>
          <w:color w:val="000000"/>
          <w:sz w:val="22"/>
        </w:rPr>
        <w:t>money actually received and cleared by the receiving party from authorised exploitation, less only the deductions expressly selected in Schedule 2; Net Receipts do not include amounts never received, uncollected taxes or refunded transactions.</w:t>
      </w:r>
    </w:p>
    <w:p>
      <w:pPr>
        <w:keepLines/>
        <w:ind w:left="259" w:hanging="259"/>
      </w:pPr>
      <w:r>
        <w:rPr>
          <w:rFonts w:ascii="Calibri" w:hAnsi="Calibri"/>
          <w:b/>
          <w:i w:val="0"/>
          <w:color w:val="000000"/>
          <w:sz w:val="22"/>
        </w:rPr>
        <w:t xml:space="preserve">Territory. </w:t>
      </w:r>
      <w:r>
        <w:rPr>
          <w:rFonts w:ascii="Calibri" w:hAnsi="Calibri"/>
          <w:b/>
          <w:i w:val="0"/>
          <w:color w:val="6B4E00"/>
          <w:sz w:val="19"/>
          <w:shd w:fill="FFF4CC"/>
        </w:rPr>
        <w:t>{{COMMERCIAL_TERRITORY}}</w:t>
      </w:r>
      <w:r>
        <w:rPr>
          <w:rFonts w:ascii="Calibri" w:hAnsi="Calibri"/>
          <w:b w:val="0"/>
          <w:i w:val="0"/>
          <w:color w:val="000000"/>
          <w:sz w:val="22"/>
        </w:rPr>
        <w:t>.</w:t>
      </w:r>
    </w:p>
    <w:p>
      <w:pPr>
        <w:keepLines/>
        <w:ind w:left="259" w:hanging="259"/>
      </w:pPr>
      <w:r>
        <w:rPr>
          <w:rFonts w:ascii="Calibri" w:hAnsi="Calibri"/>
          <w:b/>
          <w:i w:val="0"/>
          <w:color w:val="000000"/>
          <w:sz w:val="22"/>
        </w:rPr>
        <w:t xml:space="preserve">Commissionable Gross Income. </w:t>
      </w:r>
      <w:r>
        <w:rPr>
          <w:rFonts w:ascii="Calibri" w:hAnsi="Calibri"/>
          <w:b w:val="0"/>
          <w:i w:val="0"/>
          <w:color w:val="000000"/>
          <w:sz w:val="22"/>
        </w:rPr>
        <w:t>money and the fair cash value of non-cash consideration actually received by or credited to the Artist from the selected entertainment activities during the Term, less only the exclusions and pass-through amounts in Schedule 2.</w:t>
      </w:r>
    </w:p>
    <w:p>
      <w:pPr>
        <w:keepLines/>
        <w:ind w:left="259" w:hanging="259"/>
      </w:pPr>
      <w:r>
        <w:rPr>
          <w:rFonts w:ascii="Calibri" w:hAnsi="Calibri"/>
          <w:b/>
          <w:i w:val="0"/>
          <w:color w:val="000000"/>
          <w:sz w:val="22"/>
        </w:rPr>
        <w:t xml:space="preserve">Entertainment Activities. </w:t>
      </w:r>
      <w:r>
        <w:rPr>
          <w:rFonts w:ascii="Calibri" w:hAnsi="Calibri"/>
          <w:b w:val="0"/>
          <w:i w:val="0"/>
          <w:color w:val="000000"/>
          <w:sz w:val="22"/>
        </w:rPr>
        <w:t>the activities selected in Schedule 1 and no others.</w:t>
      </w:r>
    </w:p>
    <w:p>
      <w:pPr>
        <w:keepLines/>
        <w:ind w:left="259" w:hanging="259"/>
      </w:pPr>
      <w:r>
        <w:rPr>
          <w:rFonts w:ascii="Calibri" w:hAnsi="Calibri"/>
          <w:b/>
          <w:i w:val="0"/>
          <w:color w:val="000000"/>
          <w:sz w:val="22"/>
        </w:rPr>
        <w:t xml:space="preserve">Key Person. </w:t>
      </w:r>
      <w:r>
        <w:rPr>
          <w:rFonts w:ascii="Calibri" w:hAnsi="Calibri"/>
          <w:b/>
          <w:i w:val="0"/>
          <w:color w:val="6B4E00"/>
          <w:sz w:val="19"/>
          <w:shd w:fill="FFF4CC"/>
        </w:rPr>
        <w:t>{{MANAGEMENT_KEY_PERSON}}</w:t>
      </w:r>
      <w:r>
        <w:rPr>
          <w:rFonts w:ascii="Calibri" w:hAnsi="Calibri"/>
          <w:b w:val="0"/>
          <w:i w:val="0"/>
          <w:color w:val="000000"/>
          <w:sz w:val="22"/>
        </w:rPr>
        <w:t>, whose continuing personal involvement is a material reason for the Artist entering this Agreement.</w:t>
      </w:r>
    </w:p>
    <w:p>
      <w:pPr>
        <w:keepLines/>
        <w:ind w:left="259" w:hanging="259"/>
      </w:pPr>
      <w:r>
        <w:rPr>
          <w:rFonts w:ascii="Calibri" w:hAnsi="Calibri"/>
          <w:b/>
          <w:i w:val="0"/>
          <w:color w:val="000000"/>
          <w:sz w:val="22"/>
        </w:rPr>
        <w:t xml:space="preserve">Manager. </w:t>
      </w:r>
      <w:r>
        <w:rPr>
          <w:rFonts w:ascii="Calibri" w:hAnsi="Calibri"/>
          <w:b/>
          <w:i w:val="0"/>
          <w:color w:val="6B4E00"/>
          <w:sz w:val="19"/>
          <w:shd w:fill="FFF4CC"/>
        </w:rPr>
        <w:t>{{LABEL_LEGAL_NAME}}</w:t>
      </w:r>
      <w:r>
        <w:rPr>
          <w:rFonts w:ascii="Calibri" w:hAnsi="Calibri"/>
          <w:b w:val="0"/>
          <w:i w:val="0"/>
          <w:color w:val="000000"/>
          <w:sz w:val="22"/>
        </w:rPr>
        <w:t xml:space="preserve"> acting in its career-management capacity under this Agreement.</w:t>
      </w:r>
    </w:p>
    <w:p>
      <w:r>
        <w:rPr>
          <w:rFonts w:ascii="Calibri" w:hAnsi="Calibri"/>
          <w:b w:val="0"/>
          <w:i w:val="0"/>
          <w:color w:val="000000"/>
          <w:sz w:val="22"/>
        </w:rPr>
        <w:t>Headings are for convenience only. References to writing include an accessible and retainable electronic record. A Business Day is a day other than Saturday, Sunday or a public holiday observed in Trinidad and Tobago.</w:t>
      </w:r>
    </w:p>
    <w:p>
      <w:pPr>
        <w:pStyle w:val="Heading1"/>
      </w:pPr>
      <w:r>
        <w:rPr>
          <w:rFonts w:ascii="Calibri" w:hAnsi="Calibri"/>
          <w:b/>
          <w:i w:val="0"/>
          <w:color w:val="2E74B5"/>
          <w:sz w:val="32"/>
        </w:rPr>
        <w:t>2. Appointment and exclusivity</w:t>
      </w:r>
    </w:p>
    <w:p>
      <w:pPr>
        <w:keepLines/>
      </w:pPr>
      <w:r>
        <w:rPr>
          <w:rFonts w:ascii="Calibri" w:hAnsi="Calibri"/>
          <w:b w:val="0"/>
          <w:i w:val="0"/>
          <w:color w:val="000000"/>
          <w:sz w:val="22"/>
        </w:rPr>
        <w:t xml:space="preserve">The Artist appoints the Manager as </w:t>
      </w:r>
      <w:r>
        <w:rPr>
          <w:rFonts w:ascii="Calibri" w:hAnsi="Calibri"/>
          <w:b/>
          <w:i w:val="0"/>
          <w:color w:val="6B4E00"/>
          <w:sz w:val="19"/>
          <w:shd w:fill="FFF4CC"/>
        </w:rPr>
        <w:t>{{MANAGEMENT_APPOINTMENT_TYPE}}</w:t>
      </w:r>
      <w:r>
        <w:rPr>
          <w:rFonts w:ascii="Calibri" w:hAnsi="Calibri"/>
          <w:b w:val="0"/>
          <w:i w:val="0"/>
          <w:color w:val="000000"/>
          <w:sz w:val="22"/>
        </w:rPr>
        <w:t xml:space="preserve"> personal manager for the Entertainment Activities during the Term in the Territory. Exclusivity applies only to </w:t>
      </w:r>
      <w:r>
        <w:rPr>
          <w:rFonts w:ascii="Calibri" w:hAnsi="Calibri"/>
          <w:b/>
          <w:i w:val="0"/>
          <w:color w:val="6B4E00"/>
          <w:sz w:val="19"/>
          <w:shd w:fill="FFF4CC"/>
        </w:rPr>
        <w:t>{{MANAGEMENT_EXCLUSIVITY_SCOPE}}</w:t>
      </w:r>
      <w:r>
        <w:rPr>
          <w:rFonts w:ascii="Calibri" w:hAnsi="Calibri"/>
          <w:b w:val="0"/>
          <w:i w:val="0"/>
          <w:color w:val="000000"/>
          <w:sz w:val="22"/>
        </w:rPr>
        <w:t xml:space="preserve"> and does not transfer copyright, master ownership, publishing, neighbouring rights or authority to sign recording, publishing, distribution or endorsement agreements for the Artist.</w:t>
      </w:r>
    </w:p>
    <w:p>
      <w:pPr>
        <w:keepLines/>
      </w:pPr>
      <w:r>
        <w:rPr>
          <w:rFonts w:ascii="Calibri" w:hAnsi="Calibri"/>
          <w:b w:val="0"/>
          <w:i w:val="0"/>
          <w:color w:val="000000"/>
          <w:sz w:val="22"/>
        </w:rPr>
        <w:t>The Artist shall refer material opportunities within the selected scope to the Manager and keep the Manager reasonably informed. The Artist remains free to retain an attorney, accountant, business manager, booking agent and other specialist adviser, and the Manager shall cooperate with them.</w:t>
      </w:r>
    </w:p>
    <w:p>
      <w:pPr>
        <w:pStyle w:val="Heading1"/>
      </w:pPr>
      <w:r>
        <w:rPr>
          <w:rFonts w:ascii="Calibri" w:hAnsi="Calibri"/>
          <w:b/>
          <w:i w:val="0"/>
          <w:color w:val="2E74B5"/>
          <w:sz w:val="32"/>
        </w:rPr>
        <w:t>3. Manager services</w:t>
      </w:r>
    </w:p>
    <w:p>
      <w:pPr>
        <w:keepLines/>
      </w:pPr>
      <w:r>
        <w:rPr>
          <w:rFonts w:ascii="Calibri" w:hAnsi="Calibri"/>
          <w:b w:val="0"/>
          <w:i w:val="0"/>
          <w:color w:val="000000"/>
          <w:sz w:val="22"/>
        </w:rPr>
        <w:t xml:space="preserve">The Manager shall provide the selected services: </w:t>
      </w:r>
      <w:r>
        <w:rPr>
          <w:rFonts w:ascii="Calibri" w:hAnsi="Calibri"/>
          <w:b/>
          <w:i w:val="0"/>
          <w:color w:val="6B4E00"/>
          <w:sz w:val="19"/>
          <w:shd w:fill="FFF4CC"/>
        </w:rPr>
        <w:t>{{SELECTED_MANAGEMENT_SERVICES}}</w:t>
      </w:r>
      <w:r>
        <w:rPr>
          <w:rFonts w:ascii="Calibri" w:hAnsi="Calibri"/>
          <w:b w:val="0"/>
          <w:i w:val="0"/>
          <w:color w:val="000000"/>
          <w:sz w:val="22"/>
        </w:rPr>
        <w:t>. These may include career planning, release coordination, introductions, negotiation support, team coordination, brand development, scheduling oversight, budget review, opportunity assessment and liaison with professional advisers.</w:t>
      </w:r>
    </w:p>
    <w:p>
      <w:pPr>
        <w:keepLines/>
      </w:pPr>
      <w:r>
        <w:rPr>
          <w:rFonts w:ascii="Calibri" w:hAnsi="Calibri"/>
          <w:b w:val="0"/>
          <w:i w:val="0"/>
          <w:color w:val="000000"/>
          <w:sz w:val="22"/>
        </w:rPr>
        <w:t>The Manager shall act honestly, disclose material conflicts, keep the Artist reasonably informed, maintain records of material negotiations and not knowingly place its own undisclosed financial interest ahead of the Artist in a transaction within the management scope.</w:t>
      </w:r>
    </w:p>
    <w:p>
      <w:pPr>
        <w:pStyle w:val="Heading1"/>
      </w:pPr>
      <w:r>
        <w:rPr>
          <w:rFonts w:ascii="Calibri" w:hAnsi="Calibri"/>
          <w:b/>
          <w:i w:val="0"/>
          <w:color w:val="2E74B5"/>
          <w:sz w:val="32"/>
        </w:rPr>
        <w:t>4. Authority and limits</w:t>
      </w:r>
    </w:p>
    <w:p>
      <w:pPr>
        <w:keepLines/>
      </w:pPr>
      <w:r>
        <w:rPr>
          <w:rFonts w:ascii="Calibri" w:hAnsi="Calibri"/>
          <w:b w:val="0"/>
          <w:i w:val="0"/>
          <w:color w:val="000000"/>
          <w:sz w:val="22"/>
        </w:rPr>
        <w:t xml:space="preserve">The Manager may communicate, request information, present non-binding proposals and coordinate approved activities. The Manager may not sign a contract for the Artist, settle a claim, borrow money, grant a security interest, endorse a cheque, change a payout account, transfer intellectual property, commence litigation or incur an obligation above </w:t>
      </w:r>
      <w:r>
        <w:rPr>
          <w:rFonts w:ascii="Calibri" w:hAnsi="Calibri"/>
          <w:b/>
          <w:i w:val="0"/>
          <w:color w:val="6B4E00"/>
          <w:sz w:val="19"/>
          <w:shd w:fill="FFF4CC"/>
        </w:rPr>
        <w:t>{{MANAGER_SPEND_AUTHORITY}}</w:t>
      </w:r>
      <w:r>
        <w:rPr>
          <w:rFonts w:ascii="Calibri" w:hAnsi="Calibri"/>
          <w:b w:val="0"/>
          <w:i w:val="0"/>
          <w:color w:val="000000"/>
          <w:sz w:val="22"/>
        </w:rPr>
        <w:t xml:space="preserve"> without the Artist's specific written authority.</w:t>
      </w:r>
    </w:p>
    <w:p>
      <w:pPr>
        <w:keepLines/>
      </w:pPr>
      <w:r>
        <w:rPr>
          <w:rFonts w:ascii="Calibri" w:hAnsi="Calibri"/>
          <w:b w:val="0"/>
          <w:i w:val="0"/>
          <w:color w:val="000000"/>
          <w:sz w:val="22"/>
        </w:rPr>
        <w:t>Any limited power of attorney must be a separate instrument identifying the act, counterparty, maximum value and expiry date. This Agreement alone is not a general power of attorney.</w:t>
      </w:r>
    </w:p>
    <w:p>
      <w:pPr>
        <w:pStyle w:val="Heading1"/>
      </w:pPr>
      <w:r>
        <w:rPr>
          <w:rFonts w:ascii="Calibri" w:hAnsi="Calibri"/>
          <w:b/>
          <w:i w:val="0"/>
          <w:color w:val="2E74B5"/>
          <w:sz w:val="32"/>
        </w:rPr>
        <w:t>5. Artist responsibilities</w:t>
      </w:r>
    </w:p>
    <w:p>
      <w:pPr>
        <w:keepLines/>
      </w:pPr>
      <w:r>
        <w:rPr>
          <w:rFonts w:ascii="Calibri" w:hAnsi="Calibri"/>
          <w:b w:val="0"/>
          <w:i w:val="0"/>
          <w:color w:val="000000"/>
          <w:sz w:val="22"/>
        </w:rPr>
        <w:t>The Artist shall make final creative and business decisions, attend agreed meetings and performances, provide accurate information, promptly disclose offers and commitments within the management scope, behave professionally and obtain independent legal advice before signing a material entertainment agreement.</w:t>
      </w:r>
    </w:p>
    <w:p>
      <w:pPr>
        <w:keepLines/>
      </w:pPr>
      <w:r>
        <w:rPr>
          <w:rFonts w:ascii="Calibri" w:hAnsi="Calibri"/>
          <w:b w:val="0"/>
          <w:i w:val="0"/>
          <w:color w:val="000000"/>
          <w:sz w:val="22"/>
        </w:rPr>
        <w:t>The Artist is not required to accept a particular recording, publishing, distribution, sponsorship, investment or other deal merely because the Manager recommends it. A rejection made in good faith is not a breach.</w:t>
      </w:r>
    </w:p>
    <w:p>
      <w:pPr>
        <w:pStyle w:val="Heading1"/>
      </w:pPr>
      <w:r>
        <w:rPr>
          <w:rFonts w:ascii="Calibri" w:hAnsi="Calibri"/>
          <w:b/>
          <w:i w:val="0"/>
          <w:color w:val="2E74B5"/>
          <w:sz w:val="32"/>
        </w:rPr>
        <w:t>6. Commission and receipt of income</w:t>
      </w:r>
    </w:p>
    <w:p>
      <w:pPr>
        <w:keepLines/>
      </w:pPr>
      <w:r>
        <w:rPr>
          <w:rFonts w:ascii="Calibri" w:hAnsi="Calibri"/>
          <w:b w:val="0"/>
          <w:i w:val="0"/>
          <w:color w:val="000000"/>
          <w:sz w:val="22"/>
        </w:rPr>
        <w:t xml:space="preserve">The Manager's commission is </w:t>
      </w:r>
      <w:r>
        <w:rPr>
          <w:rFonts w:ascii="Calibri" w:hAnsi="Calibri"/>
          <w:b/>
          <w:i w:val="0"/>
          <w:color w:val="6B4E00"/>
          <w:sz w:val="19"/>
          <w:shd w:fill="FFF4CC"/>
        </w:rPr>
        <w:t>{{MANAGEMENT_COMMISSION_RATE}}</w:t>
      </w:r>
      <w:r>
        <w:rPr>
          <w:rFonts w:ascii="Calibri" w:hAnsi="Calibri"/>
          <w:b w:val="0"/>
          <w:i w:val="0"/>
          <w:color w:val="000000"/>
          <w:sz w:val="22"/>
        </w:rPr>
        <w:t xml:space="preserve"> of Commissionable Gross Income. The included income categories, exclusions and deduction rules are in Schedule 2. The same income shall not be charged twice merely because it passes through more than one Artist-controlled entity.</w:t>
      </w:r>
    </w:p>
    <w:p>
      <w:pPr>
        <w:keepLines/>
      </w:pPr>
      <w:r>
        <w:rPr>
          <w:rFonts w:ascii="Calibri" w:hAnsi="Calibri"/>
          <w:b w:val="0"/>
          <w:i w:val="0"/>
          <w:color w:val="000000"/>
          <w:sz w:val="22"/>
        </w:rPr>
        <w:t>The Manager shall not receive Artist income directly unless Schedule 2 authorises a designated client/trust or operating account with transparent records and prompt remittance. If the Manager receives funds, it shall issue a receipt, segregate them from its own funds to the extent legally and operationally required, deduct only authorised amounts and account promptly.</w:t>
      </w:r>
    </w:p>
    <w:p>
      <w:pPr>
        <w:keepLines/>
      </w:pPr>
      <w:r>
        <w:rPr>
          <w:rFonts w:ascii="Calibri" w:hAnsi="Calibri"/>
          <w:b w:val="0"/>
          <w:i w:val="0"/>
          <w:color w:val="000000"/>
          <w:sz w:val="22"/>
        </w:rPr>
        <w:t xml:space="preserve">Non-cash consideration is commissionable only when </w:t>
      </w:r>
      <w:r>
        <w:rPr>
          <w:rFonts w:ascii="Calibri" w:hAnsi="Calibri"/>
          <w:b/>
          <w:i w:val="0"/>
          <w:color w:val="6B4E00"/>
          <w:sz w:val="19"/>
          <w:shd w:fill="FFF4CC"/>
        </w:rPr>
        <w:t>{{NON_CASH_COMMISSION_RULE}}</w:t>
      </w:r>
      <w:r>
        <w:rPr>
          <w:rFonts w:ascii="Calibri" w:hAnsi="Calibri"/>
          <w:b w:val="0"/>
          <w:i w:val="0"/>
          <w:color w:val="000000"/>
          <w:sz w:val="22"/>
        </w:rPr>
        <w:t>. Loans, refundable deposits, production budgets paid directly to vendors, reimbursed expenses, taxes collected, monies belonging to collaborators and the excluded categories in Schedule 2 are not Commissionable Gross Income.</w:t>
      </w:r>
    </w:p>
    <w:p>
      <w:pPr>
        <w:pStyle w:val="Heading1"/>
      </w:pPr>
      <w:r>
        <w:rPr>
          <w:rFonts w:ascii="Calibri" w:hAnsi="Calibri"/>
          <w:b/>
          <w:i w:val="0"/>
          <w:color w:val="2E74B5"/>
          <w:sz w:val="32"/>
        </w:rPr>
        <w:t>7. Expenses and related-party transactions</w:t>
      </w:r>
    </w:p>
    <w:p>
      <w:pPr>
        <w:keepLines/>
      </w:pPr>
      <w:r>
        <w:rPr>
          <w:rFonts w:ascii="Calibri" w:hAnsi="Calibri"/>
          <w:b w:val="0"/>
          <w:i w:val="0"/>
          <w:color w:val="000000"/>
          <w:sz w:val="22"/>
        </w:rPr>
        <w:t xml:space="preserve">The Artist shall reimburse only reasonable, documented, pre-approved out-of-pocket management expenses within the budget. A single expense above </w:t>
      </w:r>
      <w:r>
        <w:rPr>
          <w:rFonts w:ascii="Calibri" w:hAnsi="Calibri"/>
          <w:b/>
          <w:i w:val="0"/>
          <w:color w:val="6B4E00"/>
          <w:sz w:val="19"/>
          <w:shd w:fill="FFF4CC"/>
        </w:rPr>
        <w:t>{{MANAGEMENT_EXPENSE_APPROVAL_CAP}}</w:t>
      </w:r>
      <w:r>
        <w:rPr>
          <w:rFonts w:ascii="Calibri" w:hAnsi="Calibri"/>
          <w:b w:val="0"/>
          <w:i w:val="0"/>
          <w:color w:val="000000"/>
          <w:sz w:val="22"/>
        </w:rPr>
        <w:t xml:space="preserve"> or travel outside Trinidad and Tobago requires prior written approval. Ordinary Manager overhead and staff salaries are included in the commission unless Schedule 2 expressly states otherwise.</w:t>
      </w:r>
    </w:p>
    <w:p>
      <w:pPr>
        <w:keepLines/>
      </w:pPr>
      <w:r>
        <w:rPr>
          <w:rFonts w:ascii="Calibri" w:hAnsi="Calibri"/>
          <w:b w:val="0"/>
          <w:i w:val="0"/>
          <w:color w:val="000000"/>
          <w:sz w:val="22"/>
        </w:rPr>
        <w:t>The Manager shall disclose any ownership, referral fee, commission, mark-up or other material interest in a proposed vendor, label, publisher, distributor, promoter or brand. The Artist's written approval is required before a related-party engagement.</w:t>
      </w:r>
    </w:p>
    <w:p>
      <w:pPr>
        <w:pStyle w:val="Heading1"/>
      </w:pPr>
      <w:r>
        <w:rPr>
          <w:rFonts w:ascii="Calibri" w:hAnsi="Calibri"/>
          <w:b/>
          <w:i w:val="0"/>
          <w:color w:val="2E74B5"/>
          <w:sz w:val="32"/>
        </w:rPr>
        <w:t>8. Conflicts and separate Label services</w:t>
      </w:r>
    </w:p>
    <w:p>
      <w:pPr>
        <w:keepLines/>
      </w:pPr>
      <w:r>
        <w:rPr>
          <w:rFonts w:ascii="Calibri" w:hAnsi="Calibri"/>
          <w:b w:val="0"/>
          <w:i w:val="0"/>
          <w:color w:val="000000"/>
          <w:sz w:val="22"/>
        </w:rPr>
        <w:t>Where the Manager or an affiliate also offers label, distribution, publishing, production or other services, each engagement and fee must be separately documented. The Artist shall receive enough information to understand the conflict and may obtain independent advice. Management commission is not automatically payable on fees retained by the Manager under a separate service agreement unless Schedule 2 expressly and fairly addresses that treatment.</w:t>
      </w:r>
    </w:p>
    <w:p>
      <w:pPr>
        <w:pStyle w:val="Heading1"/>
      </w:pPr>
      <w:r>
        <w:rPr>
          <w:rFonts w:ascii="Calibri" w:hAnsi="Calibri"/>
          <w:b/>
          <w:i w:val="0"/>
          <w:color w:val="2E74B5"/>
          <w:sz w:val="32"/>
        </w:rPr>
        <w:t>9. Key Person, performance review and termination</w:t>
      </w:r>
    </w:p>
    <w:p>
      <w:pPr>
        <w:keepLines/>
      </w:pPr>
      <w:r>
        <w:rPr>
          <w:rFonts w:ascii="Calibri" w:hAnsi="Calibri"/>
          <w:b w:val="0"/>
          <w:i w:val="0"/>
          <w:color w:val="000000"/>
          <w:sz w:val="22"/>
        </w:rPr>
        <w:t xml:space="preserve">The Key Person shall remain materially involved. If the Key Person is unavailable for more than </w:t>
      </w:r>
      <w:r>
        <w:rPr>
          <w:rFonts w:ascii="Calibri" w:hAnsi="Calibri"/>
          <w:b/>
          <w:i w:val="0"/>
          <w:color w:val="6B4E00"/>
          <w:sz w:val="19"/>
          <w:shd w:fill="FFF4CC"/>
        </w:rPr>
        <w:t>{{KEY_PERSON_ABSENCE_PERIOD}}</w:t>
      </w:r>
      <w:r>
        <w:rPr>
          <w:rFonts w:ascii="Calibri" w:hAnsi="Calibri"/>
          <w:b w:val="0"/>
          <w:i w:val="0"/>
          <w:color w:val="000000"/>
          <w:sz w:val="22"/>
        </w:rPr>
        <w:t xml:space="preserve"> or ceases involvement and no substitute acceptable to the Artist is agreed within </w:t>
      </w:r>
      <w:r>
        <w:rPr>
          <w:rFonts w:ascii="Calibri" w:hAnsi="Calibri"/>
          <w:b/>
          <w:i w:val="0"/>
          <w:color w:val="6B4E00"/>
          <w:sz w:val="19"/>
          <w:shd w:fill="FFF4CC"/>
        </w:rPr>
        <w:t>{{KEY_PERSON_REPLACEMENT_PERIOD}}</w:t>
      </w:r>
      <w:r>
        <w:rPr>
          <w:rFonts w:ascii="Calibri" w:hAnsi="Calibri"/>
          <w:b w:val="0"/>
          <w:i w:val="0"/>
          <w:color w:val="000000"/>
          <w:sz w:val="22"/>
        </w:rPr>
        <w:t>, the Artist may terminate on written notice without an early termination penalty.</w:t>
      </w:r>
    </w:p>
    <w:p>
      <w:pPr>
        <w:keepLines/>
      </w:pPr>
      <w:r>
        <w:rPr>
          <w:rFonts w:ascii="Calibri" w:hAnsi="Calibri"/>
          <w:b w:val="0"/>
          <w:i w:val="0"/>
          <w:color w:val="000000"/>
          <w:sz w:val="22"/>
        </w:rPr>
        <w:t xml:space="preserve">The parties shall conduct a performance review every </w:t>
      </w:r>
      <w:r>
        <w:rPr>
          <w:rFonts w:ascii="Calibri" w:hAnsi="Calibri"/>
          <w:b/>
          <w:i w:val="0"/>
          <w:color w:val="6B4E00"/>
          <w:sz w:val="19"/>
          <w:shd w:fill="FFF4CC"/>
        </w:rPr>
        <w:t>{{MANAGEMENT_REVIEW_FREQUENCY}}</w:t>
      </w:r>
      <w:r>
        <w:rPr>
          <w:rFonts w:ascii="Calibri" w:hAnsi="Calibri"/>
          <w:b w:val="0"/>
          <w:i w:val="0"/>
          <w:color w:val="000000"/>
          <w:sz w:val="22"/>
        </w:rPr>
        <w:t xml:space="preserve"> against the objectives and activity expectations in Schedule 1. In addition to the general termination rights, the Artist may terminate if the Manager fails to provide material selected services for </w:t>
      </w:r>
      <w:r>
        <w:rPr>
          <w:rFonts w:ascii="Calibri" w:hAnsi="Calibri"/>
          <w:b/>
          <w:i w:val="0"/>
          <w:color w:val="6B4E00"/>
          <w:sz w:val="19"/>
          <w:shd w:fill="FFF4CC"/>
        </w:rPr>
        <w:t>{{MANAGEMENT_INACTIVITY_PERIOD}}</w:t>
      </w:r>
      <w:r>
        <w:rPr>
          <w:rFonts w:ascii="Calibri" w:hAnsi="Calibri"/>
          <w:b w:val="0"/>
          <w:i w:val="0"/>
          <w:color w:val="000000"/>
          <w:sz w:val="22"/>
        </w:rPr>
        <w:t xml:space="preserve"> after written notice and reasonable cure opportunity.</w:t>
      </w:r>
    </w:p>
    <w:p>
      <w:pPr>
        <w:pStyle w:val="Heading1"/>
      </w:pPr>
      <w:r>
        <w:rPr>
          <w:rFonts w:ascii="Calibri" w:hAnsi="Calibri"/>
          <w:b/>
          <w:i w:val="0"/>
          <w:color w:val="2E74B5"/>
          <w:sz w:val="32"/>
        </w:rPr>
        <w:t>10. Post-term commission</w:t>
      </w:r>
    </w:p>
    <w:p>
      <w:pPr>
        <w:keepLines/>
      </w:pPr>
      <w:r>
        <w:rPr>
          <w:rFonts w:ascii="Calibri" w:hAnsi="Calibri"/>
          <w:b w:val="0"/>
          <w:i w:val="0"/>
          <w:color w:val="000000"/>
          <w:sz w:val="22"/>
        </w:rPr>
        <w:t xml:space="preserve">After termination or expiry, the Manager is entitled only to the declining commission in Schedule 2 on income from agreements substantially negotiated or procured during the Term and listed in a written closing schedule delivered within </w:t>
      </w:r>
      <w:r>
        <w:rPr>
          <w:rFonts w:ascii="Calibri" w:hAnsi="Calibri"/>
          <w:b/>
          <w:i w:val="0"/>
          <w:color w:val="6B4E00"/>
          <w:sz w:val="19"/>
          <w:shd w:fill="FFF4CC"/>
        </w:rPr>
        <w:t>{{CLOSING_DEAL_LIST_DAYS}}</w:t>
      </w:r>
      <w:r>
        <w:rPr>
          <w:rFonts w:ascii="Calibri" w:hAnsi="Calibri"/>
          <w:b w:val="0"/>
          <w:i w:val="0"/>
          <w:color w:val="000000"/>
          <w:sz w:val="22"/>
        </w:rPr>
        <w:t xml:space="preserve"> Business Days. No post-term commission applies to a new agreement first negotiated after the Term, except a genuine renewal or extension of a listed agreement as expressly stated.</w:t>
      </w:r>
    </w:p>
    <w:p>
      <w:pPr>
        <w:keepLines/>
      </w:pPr>
      <w:r>
        <w:rPr>
          <w:rFonts w:ascii="Calibri" w:hAnsi="Calibri"/>
          <w:b w:val="0"/>
          <w:i w:val="0"/>
          <w:color w:val="000000"/>
          <w:sz w:val="22"/>
        </w:rPr>
        <w:t xml:space="preserve">The sunset schedule is </w:t>
      </w:r>
      <w:r>
        <w:rPr>
          <w:rFonts w:ascii="Calibri" w:hAnsi="Calibri"/>
          <w:b/>
          <w:i w:val="0"/>
          <w:color w:val="6B4E00"/>
          <w:sz w:val="19"/>
          <w:shd w:fill="FFF4CC"/>
        </w:rPr>
        <w:t>{{MANAGEMENT_SUNSET_SCHEDULE}}</w:t>
      </w:r>
      <w:r>
        <w:rPr>
          <w:rFonts w:ascii="Calibri" w:hAnsi="Calibri"/>
          <w:b w:val="0"/>
          <w:i w:val="0"/>
          <w:color w:val="000000"/>
          <w:sz w:val="22"/>
        </w:rPr>
        <w:t xml:space="preserve"> and ends absolutely after </w:t>
      </w:r>
      <w:r>
        <w:rPr>
          <w:rFonts w:ascii="Calibri" w:hAnsi="Calibri"/>
          <w:b/>
          <w:i w:val="0"/>
          <w:color w:val="6B4E00"/>
          <w:sz w:val="19"/>
          <w:shd w:fill="FFF4CC"/>
        </w:rPr>
        <w:t>{{SUNSET_MAXIMUM_PERIOD}}</w:t>
      </w:r>
      <w:r>
        <w:rPr>
          <w:rFonts w:ascii="Calibri" w:hAnsi="Calibri"/>
          <w:b w:val="0"/>
          <w:i w:val="0"/>
          <w:color w:val="000000"/>
          <w:sz w:val="22"/>
        </w:rPr>
        <w:t>. No post-term commission is due where the Artist terminates for the Manager's uncured material breach, fraud or wilful misconduct, except on money already earned before termination to the extent allowed by law.</w:t>
      </w:r>
    </w:p>
    <w:p>
      <w:pPr>
        <w:pStyle w:val="Heading1"/>
      </w:pPr>
      <w:r>
        <w:rPr>
          <w:rFonts w:ascii="Calibri" w:hAnsi="Calibri"/>
          <w:b/>
          <w:i w:val="0"/>
          <w:color w:val="2E74B5"/>
          <w:sz w:val="32"/>
        </w:rPr>
        <w:t>11. No guarantee and professional advisers</w:t>
      </w:r>
    </w:p>
    <w:p>
      <w:pPr>
        <w:keepLines/>
      </w:pPr>
      <w:r>
        <w:rPr>
          <w:rFonts w:ascii="Calibri" w:hAnsi="Calibri"/>
          <w:b w:val="0"/>
          <w:i w:val="0"/>
          <w:color w:val="000000"/>
          <w:sz w:val="22"/>
        </w:rPr>
        <w:t>The Manager does not guarantee income, fame, bookings, airplay, investment, record deals, licences, sponsorships or other opportunities. The Manager is not acting as the Artist's attorney, accountant or tax adviser unless separately qualified and retained in writing. The Artist shall obtain independent advice on legal, tax, investment and accounting matters.</w:t>
      </w:r>
    </w:p>
    <w:p>
      <w:pPr>
        <w:pStyle w:val="Heading1"/>
      </w:pPr>
      <w:r>
        <w:rPr>
          <w:rFonts w:ascii="Calibri" w:hAnsi="Calibri"/>
          <w:b/>
          <w:i w:val="0"/>
          <w:color w:val="2E74B5"/>
          <w:sz w:val="32"/>
        </w:rPr>
        <w:t>12. Statements, records and audit</w:t>
      </w:r>
    </w:p>
    <w:p>
      <w:pPr>
        <w:keepLines/>
      </w:pPr>
      <w:r>
        <w:rPr>
          <w:rFonts w:ascii="Calibri" w:hAnsi="Calibri"/>
          <w:b w:val="0"/>
          <w:i w:val="0"/>
          <w:color w:val="000000"/>
          <w:sz w:val="22"/>
        </w:rPr>
        <w:t>The Manager shall provide statements {STATEMENT_FREQUENCY} and pay undisputed sums within {PAYMENT_DAYS} Business Days after the statement date, subject to the minimum payout threshold of {MINIMUM_PAYOUT}. Amounts below the threshold carry forward without forfeiture.</w:t>
      </w:r>
    </w:p>
    <w:p>
      <w:pPr>
        <w:keepLines/>
      </w:pPr>
      <w:r>
        <w:rPr>
          <w:rFonts w:ascii="Calibri" w:hAnsi="Calibri"/>
          <w:b w:val="0"/>
          <w:i w:val="0"/>
          <w:color w:val="000000"/>
          <w:sz w:val="22"/>
        </w:rPr>
        <w:t>Each party shall keep complete records relevant to money payable under this Agreement for at least six years after the relevant statement. Once in any twelve-month period, the Artist may appoint an independent accountant, bound by confidentiality, to inspect relevant records on at least fifteen Business Days' notice. The audit shall occur during normal business hours, at the Artist's cost, unless an underpayment exceeding five per cent is found, in which case the reasonable audit cost shall be reimbursed by the Label.</w:t>
      </w:r>
    </w:p>
    <w:p>
      <w:pPr>
        <w:pStyle w:val="Heading1"/>
      </w:pPr>
      <w:r>
        <w:rPr>
          <w:rFonts w:ascii="Calibri" w:hAnsi="Calibri"/>
          <w:b/>
          <w:i w:val="0"/>
          <w:color w:val="2E74B5"/>
          <w:sz w:val="32"/>
        </w:rPr>
        <w:t>13. Taxes</w:t>
      </w:r>
    </w:p>
    <w:p>
      <w:pPr>
        <w:keepLines/>
      </w:pPr>
      <w:r>
        <w:rPr>
          <w:rFonts w:ascii="Calibri" w:hAnsi="Calibri"/>
          <w:b w:val="0"/>
          <w:i w:val="0"/>
          <w:color w:val="000000"/>
          <w:sz w:val="22"/>
        </w:rPr>
        <w:t xml:space="preserve">Amounts stated are </w:t>
      </w:r>
      <w:r>
        <w:rPr>
          <w:rFonts w:ascii="Calibri" w:hAnsi="Calibri"/>
          <w:b/>
          <w:i w:val="0"/>
          <w:color w:val="6B4E00"/>
          <w:sz w:val="19"/>
          <w:shd w:fill="FFF4CC"/>
        </w:rPr>
        <w:t>{{VAT_TREATMENT}}</w:t>
      </w:r>
      <w:r>
        <w:rPr>
          <w:rFonts w:ascii="Calibri" w:hAnsi="Calibri"/>
          <w:b w:val="0"/>
          <w:i w:val="0"/>
          <w:color w:val="000000"/>
          <w:sz w:val="22"/>
        </w:rPr>
        <w:t>. Each party is responsible for its own taxes and statutory obligations. A payer may make a deduction required by Trinidad and Tobago law, but shall provide the payee with the available certificate or evidence of the deduction. No party shall represent that it gives tax advice.</w:t>
      </w:r>
    </w:p>
    <w:p>
      <w:pPr>
        <w:pStyle w:val="Heading1"/>
      </w:pPr>
      <w:r>
        <w:rPr>
          <w:rFonts w:ascii="Calibri" w:hAnsi="Calibri"/>
          <w:b/>
          <w:i w:val="0"/>
          <w:color w:val="2E74B5"/>
          <w:sz w:val="32"/>
        </w:rPr>
        <w:t>14. Confidentiality, privacy and security</w:t>
      </w:r>
    </w:p>
    <w:p>
      <w:pPr>
        <w:keepLines/>
      </w:pPr>
      <w:r>
        <w:rPr>
          <w:rFonts w:ascii="Calibri" w:hAnsi="Calibri"/>
          <w:b w:val="0"/>
          <w:i w:val="0"/>
          <w:color w:val="000000"/>
          <w:sz w:val="22"/>
        </w:rPr>
        <w:t>Each party shall keep confidential non-public business, creative, contractual, financial, account, login and personal information received from the other and use it only to perform this Agreement. Disclosure is permitted to professional advisers, distributors, platforms, collection societies, subcontractors and authorities only where reasonably necessary and subject to appropriate confidentiality duties or law.</w:t>
      </w:r>
    </w:p>
    <w:p>
      <w:pPr>
        <w:keepLines/>
      </w:pPr>
      <w:r>
        <w:rPr>
          <w:rFonts w:ascii="Calibri" w:hAnsi="Calibri"/>
          <w:b w:val="0"/>
          <w:i w:val="0"/>
          <w:color w:val="000000"/>
          <w:sz w:val="22"/>
        </w:rPr>
        <w:t>Each party shall use reasonable administrative, technical and physical safeguards for personal information and comply with applicable provisions of the Data Protection Act, Chap. 22:04, and other applicable privacy obligations. A party becoming aware of material unauthorised access affecting the other party's information shall notify the other without unreasonable delay and cooperate in reasonable mitigation.</w:t>
      </w:r>
    </w:p>
    <w:p>
      <w:pPr>
        <w:pStyle w:val="Heading1"/>
      </w:pPr>
      <w:r>
        <w:rPr>
          <w:rFonts w:ascii="Calibri" w:hAnsi="Calibri"/>
          <w:b/>
          <w:i w:val="0"/>
          <w:color w:val="2E74B5"/>
          <w:sz w:val="32"/>
        </w:rPr>
        <w:t>15. Representations and warranties</w:t>
      </w:r>
    </w:p>
    <w:p>
      <w:pPr>
        <w:keepLines/>
      </w:pPr>
      <w:r>
        <w:rPr>
          <w:rFonts w:ascii="Calibri" w:hAnsi="Calibri"/>
          <w:b w:val="0"/>
          <w:i w:val="0"/>
          <w:color w:val="000000"/>
          <w:sz w:val="22"/>
        </w:rPr>
        <w:t>Each party represents that it has legal capacity and authority to enter into and perform this Agreement, and that doing so does not knowingly breach another binding agreement. The Artist represents that Artist-controlled materials supplied under this Agreement are original or properly cleared and that all contributor, producer, featured-artist, sample, artwork and other permissions for which the Artist is responsible have been obtained in writing.</w:t>
      </w:r>
    </w:p>
    <w:p>
      <w:pPr>
        <w:keepLines/>
      </w:pPr>
      <w:r>
        <w:rPr>
          <w:rFonts w:ascii="Calibri" w:hAnsi="Calibri"/>
          <w:b w:val="0"/>
          <w:i w:val="0"/>
          <w:color w:val="000000"/>
          <w:sz w:val="22"/>
        </w:rPr>
        <w:t>The Label represents that it will perform its services with reasonable care and skill, will not knowingly exploit rights outside the agreed grant, and will not knowingly enter into a material licence of the Artist's rights where the completed schedules require the Artist's prior written approval.</w:t>
      </w:r>
    </w:p>
    <w:p>
      <w:pPr>
        <w:pStyle w:val="Heading1"/>
      </w:pPr>
      <w:r>
        <w:rPr>
          <w:rFonts w:ascii="Calibri" w:hAnsi="Calibri"/>
          <w:b/>
          <w:i w:val="0"/>
          <w:color w:val="2E74B5"/>
          <w:sz w:val="32"/>
        </w:rPr>
        <w:t>16. Indemnity and liability</w:t>
      </w:r>
    </w:p>
    <w:p>
      <w:pPr>
        <w:keepLines/>
      </w:pPr>
      <w:r>
        <w:rPr>
          <w:rFonts w:ascii="Calibri" w:hAnsi="Calibri"/>
          <w:b w:val="0"/>
          <w:i w:val="0"/>
          <w:color w:val="000000"/>
          <w:sz w:val="22"/>
        </w:rPr>
        <w:t>Each party shall indemnify the other against a finally determined or reasonably settled third-party claim arising directly from the indemnifying party's material breach of its representations, warranties or confidentiality obligations, provided the indemnified party gives prompt notice, reasonable cooperation and control of the defence, and does not settle the claim without consent that is not unreasonably withheld.</w:t>
      </w:r>
    </w:p>
    <w:p>
      <w:pPr>
        <w:keepLines/>
      </w:pPr>
      <w:r>
        <w:rPr>
          <w:rFonts w:ascii="Calibri" w:hAnsi="Calibri"/>
          <w:b w:val="0"/>
          <w:i w:val="0"/>
          <w:color w:val="000000"/>
          <w:sz w:val="22"/>
        </w:rPr>
        <w:t xml:space="preserve">Except for payment obligations, fraud, wilful misconduct, infringement or unauthorised exploitation of intellectual property, breach of confidentiality, or liability that cannot lawfully be limited, neither party is liable to the other for indirect or consequential loss. For all other claims, each party's aggregate liability is limited to </w:t>
      </w:r>
      <w:r>
        <w:rPr>
          <w:rFonts w:ascii="Calibri" w:hAnsi="Calibri"/>
          <w:b/>
          <w:i w:val="0"/>
          <w:color w:val="6B4E00"/>
          <w:sz w:val="19"/>
          <w:shd w:fill="FFF4CC"/>
        </w:rPr>
        <w:t>{{LIABILITY_CAP}}</w:t>
      </w:r>
      <w:r>
        <w:rPr>
          <w:rFonts w:ascii="Calibri" w:hAnsi="Calibri"/>
          <w:b w:val="0"/>
          <w:i w:val="0"/>
          <w:color w:val="000000"/>
          <w:sz w:val="22"/>
        </w:rPr>
        <w:t>, to the extent permitted by law.</w:t>
      </w:r>
    </w:p>
    <w:p>
      <w:pPr>
        <w:pStyle w:val="Heading1"/>
      </w:pPr>
      <w:r>
        <w:rPr>
          <w:rFonts w:ascii="Calibri" w:hAnsi="Calibri"/>
          <w:b/>
          <w:i w:val="0"/>
          <w:color w:val="2E74B5"/>
          <w:sz w:val="32"/>
        </w:rPr>
        <w:t>17. Term, breach and termination</w:t>
      </w:r>
    </w:p>
    <w:p>
      <w:pPr>
        <w:keepLines/>
      </w:pPr>
      <w:r>
        <w:rPr>
          <w:rFonts w:ascii="Calibri" w:hAnsi="Calibri"/>
          <w:b w:val="0"/>
          <w:i w:val="0"/>
          <w:color w:val="000000"/>
          <w:sz w:val="22"/>
        </w:rPr>
        <w:t xml:space="preserve">This Agreement begins on </w:t>
      </w:r>
      <w:r>
        <w:rPr>
          <w:rFonts w:ascii="Calibri" w:hAnsi="Calibri"/>
          <w:b/>
          <w:i w:val="0"/>
          <w:color w:val="6B4E00"/>
          <w:sz w:val="19"/>
          <w:shd w:fill="FFF4CC"/>
        </w:rPr>
        <w:t>{{TERM_START_DATE}}</w:t>
      </w:r>
      <w:r>
        <w:rPr>
          <w:rFonts w:ascii="Calibri" w:hAnsi="Calibri"/>
          <w:b w:val="0"/>
          <w:i w:val="0"/>
          <w:color w:val="000000"/>
          <w:sz w:val="22"/>
        </w:rPr>
        <w:t xml:space="preserve"> and continues for </w:t>
      </w:r>
      <w:r>
        <w:rPr>
          <w:rFonts w:ascii="Calibri" w:hAnsi="Calibri"/>
          <w:b/>
          <w:i w:val="0"/>
          <w:color w:val="6B4E00"/>
          <w:sz w:val="19"/>
          <w:shd w:fill="FFF4CC"/>
        </w:rPr>
        <w:t>{{INITIAL_TERM}}</w:t>
      </w:r>
      <w:r>
        <w:rPr>
          <w:rFonts w:ascii="Calibri" w:hAnsi="Calibri"/>
          <w:b w:val="0"/>
          <w:i w:val="0"/>
          <w:color w:val="000000"/>
          <w:sz w:val="22"/>
        </w:rPr>
        <w:t xml:space="preserve">, subject to </w:t>
      </w:r>
      <w:r>
        <w:rPr>
          <w:rFonts w:ascii="Calibri" w:hAnsi="Calibri"/>
          <w:b/>
          <w:i w:val="0"/>
          <w:color w:val="6B4E00"/>
          <w:sz w:val="19"/>
          <w:shd w:fill="FFF4CC"/>
        </w:rPr>
        <w:t>{{RENEWAL_TERMS}}</w:t>
      </w:r>
      <w:r>
        <w:rPr>
          <w:rFonts w:ascii="Calibri" w:hAnsi="Calibri"/>
          <w:b w:val="0"/>
          <w:i w:val="0"/>
          <w:color w:val="000000"/>
          <w:sz w:val="22"/>
        </w:rPr>
        <w:t xml:space="preserve">. A party may terminate for a material breach not cured within </w:t>
      </w:r>
      <w:r>
        <w:rPr>
          <w:rFonts w:ascii="Calibri" w:hAnsi="Calibri"/>
          <w:b/>
          <w:i w:val="0"/>
          <w:color w:val="6B4E00"/>
          <w:sz w:val="19"/>
          <w:shd w:fill="FFF4CC"/>
        </w:rPr>
        <w:t>{{CURE_PERIOD_DAYS}}</w:t>
      </w:r>
      <w:r>
        <w:rPr>
          <w:rFonts w:ascii="Calibri" w:hAnsi="Calibri"/>
          <w:b w:val="0"/>
          <w:i w:val="0"/>
          <w:color w:val="000000"/>
          <w:sz w:val="22"/>
        </w:rPr>
        <w:t xml:space="preserve"> days after detailed written notice. A party may terminate immediately for fraud, deliberate rights infringement, insolvency where termination is legally permitted, or serious conduct that makes continued performance unlawful.</w:t>
      </w:r>
    </w:p>
    <w:p>
      <w:pPr>
        <w:keepLines/>
      </w:pPr>
      <w:r>
        <w:rPr>
          <w:rFonts w:ascii="Calibri" w:hAnsi="Calibri"/>
          <w:b w:val="0"/>
          <w:i w:val="0"/>
          <w:color w:val="000000"/>
          <w:sz w:val="22"/>
        </w:rPr>
        <w:t xml:space="preserve">Termination does not erase accrued rights, approved costs, payment obligations or licences already granted to third parties within the agreed authority. The Label shall cease new exploitation after the applicable wind-down period, request takedowns where required, provide a final statement, return or securely delete access credentials not required by law, and remit later receipts during </w:t>
      </w:r>
      <w:r>
        <w:rPr>
          <w:rFonts w:ascii="Calibri" w:hAnsi="Calibri"/>
          <w:b/>
          <w:i w:val="0"/>
          <w:color w:val="6B4E00"/>
          <w:sz w:val="19"/>
          <w:shd w:fill="FFF4CC"/>
        </w:rPr>
        <w:t>{{POST_TERM_COLLECTION_PERIOD}}</w:t>
      </w:r>
      <w:r>
        <w:rPr>
          <w:rFonts w:ascii="Calibri" w:hAnsi="Calibri"/>
          <w:b w:val="0"/>
          <w:i w:val="0"/>
          <w:color w:val="000000"/>
          <w:sz w:val="22"/>
        </w:rPr>
        <w:t>.</w:t>
      </w:r>
    </w:p>
    <w:p>
      <w:pPr>
        <w:pStyle w:val="Heading1"/>
      </w:pPr>
      <w:r>
        <w:rPr>
          <w:rFonts w:ascii="Calibri" w:hAnsi="Calibri"/>
          <w:b/>
          <w:i w:val="0"/>
          <w:color w:val="2E74B5"/>
          <w:sz w:val="32"/>
        </w:rPr>
        <w:t>18. Disputes and governing law</w:t>
      </w:r>
    </w:p>
    <w:p>
      <w:pPr>
        <w:keepLines/>
      </w:pPr>
      <w:r>
        <w:rPr>
          <w:rFonts w:ascii="Calibri" w:hAnsi="Calibri"/>
          <w:b w:val="0"/>
          <w:i w:val="0"/>
          <w:color w:val="000000"/>
          <w:sz w:val="22"/>
        </w:rPr>
        <w:t>The parties shall first attempt in good faith to resolve a dispute through authorised representatives within fourteen days after written notice. If unresolved, they shall attempt mediation in Trinidad and Tobago before commencing a final proceeding, unless urgent injunctive relief is reasonably required to protect rights or confidential information.</w:t>
      </w:r>
    </w:p>
    <w:p>
      <w:pPr>
        <w:keepLines/>
      </w:pPr>
      <w:r>
        <w:rPr>
          <w:rFonts w:ascii="Calibri" w:hAnsi="Calibri"/>
          <w:b/>
          <w:i w:val="0"/>
          <w:color w:val="6B4E00"/>
          <w:sz w:val="19"/>
          <w:shd w:fill="FFF4CC"/>
        </w:rPr>
        <w:t>{{DISPUTE_RESOLUTION_CLAUSE}}</w:t>
      </w:r>
    </w:p>
    <w:p>
      <w:pPr>
        <w:keepLines/>
      </w:pPr>
      <w:r>
        <w:rPr>
          <w:rFonts w:ascii="Calibri" w:hAnsi="Calibri"/>
          <w:b w:val="0"/>
          <w:i w:val="0"/>
          <w:color w:val="000000"/>
          <w:sz w:val="22"/>
        </w:rPr>
        <w:t>This Agreement and all non-contractual obligations connected with it are governed by the laws of the Republic of Trinidad and Tobago.</w:t>
      </w:r>
    </w:p>
    <w:p>
      <w:pPr>
        <w:pStyle w:val="Heading1"/>
      </w:pPr>
      <w:r>
        <w:rPr>
          <w:rFonts w:ascii="Calibri" w:hAnsi="Calibri"/>
          <w:b/>
          <w:i w:val="0"/>
          <w:color w:val="2E74B5"/>
          <w:sz w:val="32"/>
        </w:rPr>
        <w:t>19. Electronic records, notices and general terms</w:t>
      </w:r>
    </w:p>
    <w:p>
      <w:pPr>
        <w:keepLines/>
      </w:pPr>
      <w:r>
        <w:rPr>
          <w:rFonts w:ascii="Calibri" w:hAnsi="Calibri"/>
          <w:b w:val="0"/>
          <w:i w:val="0"/>
          <w:color w:val="000000"/>
          <w:sz w:val="22"/>
        </w:rPr>
        <w:t xml:space="preserve">The parties agree to use electronic records and reliable electronic signatures in accordance with the Electronic Transactions Act, Chap. 22:05. Counterparts form one agreement. Notices shall be sent to </w:t>
      </w:r>
      <w:r>
        <w:rPr>
          <w:rFonts w:ascii="Calibri" w:hAnsi="Calibri"/>
          <w:b/>
          <w:i w:val="0"/>
          <w:color w:val="6B4E00"/>
          <w:sz w:val="19"/>
          <w:shd w:fill="FFF4CC"/>
        </w:rPr>
        <w:t>{{LABEL_NOTICE_EMAIL}}</w:t>
      </w:r>
      <w:r>
        <w:rPr>
          <w:rFonts w:ascii="Calibri" w:hAnsi="Calibri"/>
          <w:b w:val="0"/>
          <w:i w:val="0"/>
          <w:color w:val="000000"/>
          <w:sz w:val="22"/>
        </w:rPr>
        <w:t xml:space="preserve"> for the Label and </w:t>
      </w:r>
      <w:r>
        <w:rPr>
          <w:rFonts w:ascii="Calibri" w:hAnsi="Calibri"/>
          <w:b/>
          <w:i w:val="0"/>
          <w:color w:val="6B4E00"/>
          <w:sz w:val="19"/>
          <w:shd w:fill="FFF4CC"/>
        </w:rPr>
        <w:t>{{ARTIST_NOTICE_EMAIL}}</w:t>
      </w:r>
      <w:r>
        <w:rPr>
          <w:rFonts w:ascii="Calibri" w:hAnsi="Calibri"/>
          <w:b w:val="0"/>
          <w:i w:val="0"/>
          <w:color w:val="000000"/>
          <w:sz w:val="22"/>
        </w:rPr>
        <w:t xml:space="preserve"> for the Artist, with a copy by hand, courier or registered post to the stated address for a notice of material breach or termination unless receipt is electronically acknowledged.</w:t>
      </w:r>
    </w:p>
    <w:p>
      <w:pPr>
        <w:keepLines/>
      </w:pPr>
      <w:r>
        <w:rPr>
          <w:rFonts w:ascii="Calibri" w:hAnsi="Calibri"/>
          <w:b w:val="0"/>
          <w:i w:val="0"/>
          <w:color w:val="000000"/>
          <w:sz w:val="22"/>
        </w:rPr>
        <w:t>Neither party may assign this Agreement except with the other's prior written consent, not unreasonably withheld, other than to a successor acquiring substantially all of the assigning party's relevant business and assuming the obligations in writing. The Label remains responsible for approved subcontractors. The Manager is an independent contractor; nothing creates employment or partnership. Nothing in this Agreement excludes a duty imposed on a manager that cannot lawfully be excluded. The Manager has no authority to bind the Artist except for a specific written authority granted under this Agreement.</w:t>
      </w:r>
    </w:p>
    <w:p>
      <w:pPr>
        <w:keepLines/>
      </w:pPr>
      <w:r>
        <w:rPr>
          <w:rFonts w:ascii="Calibri" w:hAnsi="Calibri"/>
          <w:b w:val="0"/>
          <w:i w:val="0"/>
          <w:color w:val="000000"/>
          <w:sz w:val="22"/>
        </w:rPr>
        <w:t>This Agreement and its schedules contain the entire agreement on their subject matter. A variation must be in writing and signed by both parties. Failure to enforce a provision is not a waiver. If a provision is invalid or unenforceable, it shall be narrowed where lawful and the remaining provisions remain effective. Clauses intended by their nature to survive termination shall survive.</w:t>
      </w:r>
    </w:p>
    <w:p>
      <w:pPr>
        <w:pStyle w:val="Heading1"/>
      </w:pPr>
      <w:r>
        <w:rPr>
          <w:rFonts w:ascii="Calibri" w:hAnsi="Calibri"/>
          <w:b/>
          <w:i w:val="0"/>
          <w:color w:val="2E74B5"/>
          <w:sz w:val="32"/>
        </w:rPr>
        <w:t>Schedule 1 - Management Scope, Authority and Performance Plan</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Manager / Key Person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{{LABEL_LEGAL_NAME}}</w:t>
            </w:r>
            <w:r>
              <w:rPr>
                <w:rFonts w:ascii="Calibri" w:hAnsi="Calibri"/>
                <w:b w:val="0"/>
                <w:i w:val="0"/>
                <w:color w:val="000000"/>
                <w:sz w:val="19"/>
              </w:rPr>
              <w:t xml:space="preserve"> / </w:t>
            </w:r>
            <w:r>
              <w:rPr>
                <w:rFonts w:ascii="Calibri" w:hAnsi="Calibri"/>
                <w:b/>
                <w:i w:val="0"/>
                <w:color w:val="6B4E00"/>
                <w:sz w:val="19"/>
                <w:shd w:fill="FFF4CC"/>
              </w:rPr>
              <w:t>{{MANAGEMENT_KEY_PERSON}}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Appointment type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{{MANAGEMENT_APPOINTMENT_TYPE}}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Exclusivity scope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{{MANAGEMENT_EXCLUSIVITY_SCOPE}}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Territory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{{COMMERCIAL_TERRITORY}}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Term</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{{TERM_START_DATE}}</w:t>
            </w:r>
            <w:r>
              <w:rPr>
                <w:rFonts w:ascii="Calibri" w:hAnsi="Calibri"/>
                <w:b w:val="0"/>
                <w:i w:val="0"/>
                <w:color w:val="000000"/>
                <w:sz w:val="19"/>
              </w:rPr>
              <w:t xml:space="preserve">; </w:t>
            </w:r>
            <w:r>
              <w:rPr>
                <w:rFonts w:ascii="Calibri" w:hAnsi="Calibri"/>
                <w:b/>
                <w:i w:val="0"/>
                <w:color w:val="6B4E00"/>
                <w:sz w:val="19"/>
                <w:shd w:fill="FFF4CC"/>
              </w:rPr>
              <w:t>{{INITIAL_TERM}}</w:t>
            </w:r>
            <w:r>
              <w:rPr>
                <w:rFonts w:ascii="Calibri" w:hAnsi="Calibri"/>
                <w:b w:val="0"/>
                <w:i w:val="0"/>
                <w:color w:val="000000"/>
                <w:sz w:val="19"/>
              </w:rPr>
              <w:t xml:space="preserve">; </w:t>
            </w:r>
            <w:r>
              <w:rPr>
                <w:rFonts w:ascii="Calibri" w:hAnsi="Calibri"/>
                <w:b/>
                <w:i w:val="0"/>
                <w:color w:val="6B4E00"/>
                <w:sz w:val="19"/>
                <w:shd w:fill="FFF4CC"/>
              </w:rPr>
              <w:t>{{RENEWAL_TERMS}}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Entertainment activities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{{ENTERTAINMENT_ACTIVITIES}}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Selected services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{{SELECTED_MANAGEMENT_SERVICES}}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First-year objectives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{{MANAGEMENT_OBJECTIVES}}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Activity / reporting expectations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{{MANAGEMENT_ACTIVITY_EXPECTATIONS}}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Manager spending authority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{{MANAGER_SPEND_AUTHORITY}}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Review frequency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{{MANAGEMENT_REVIEW_FREQUENCY}}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Key Person absence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{{KEY_PERSON_ABSENCE_PERIOD}}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Inactivity termination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{{MANAGEMENT_INACTIVITY_PERIOD}}</w:t>
            </w:r>
          </w:p>
        </w:tc>
      </w:tr>
    </w:tbl>
    <w:p>
      <w:r>
        <w:br w:type="page"/>
      </w:r>
    </w:p>
    <w:p>
      <w:pPr>
        <w:pStyle w:val="Heading1"/>
      </w:pPr>
      <w:r>
        <w:rPr>
          <w:rFonts w:ascii="Calibri" w:hAnsi="Calibri"/>
          <w:b/>
          <w:i w:val="0"/>
          <w:color w:val="2E74B5"/>
          <w:sz w:val="32"/>
        </w:rPr>
        <w:t>Schedule 2 - Commission, Exclusions, Expenses and Sunset</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Currency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Management commission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{{MANAGEMENT_COMMISSION_RATE}}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Included income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{{COMMISSIONABLE_INCOME_CATEGORIES}}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Excluded income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{{EXCLUDED_MANAGEMENT_INCOME}}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Pass-through deductions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{{MANAGEMENT_PASS_THROUGH_DEDUCTIONS}}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Non-cash rule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{{NON_CASH_COMMISSION_RULE}}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Expense approval cap</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{{MANAGEMENT_EXPENSE_APPROVAL_CAP}}</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Income receipt method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{{MANAGEMENT_INCOME_RECEIPT_METHOD}}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Statement frequency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{{STATEMENT_FREQUENCY}}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Payment deadline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{{PAYMENT_DAYS}}</w:t>
            </w:r>
            <w:r>
              <w:rPr>
                <w:rFonts w:ascii="Calibri" w:hAnsi="Calibri"/>
                <w:b w:val="0"/>
                <w:i w:val="0"/>
                <w:color w:val="000000"/>
                <w:sz w:val="19"/>
              </w:rPr>
              <w:t xml:space="preserve"> Business Days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Closing deal list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{{CLOSING_DEAL_LIST_DAYS}}</w:t>
            </w:r>
            <w:r>
              <w:rPr>
                <w:rFonts w:ascii="Calibri" w:hAnsi="Calibri"/>
                <w:b w:val="0"/>
                <w:i w:val="0"/>
                <w:color w:val="000000"/>
                <w:sz w:val="19"/>
              </w:rPr>
              <w:t xml:space="preserve"> Business Days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Sunset schedule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{{MANAGEMENT_SUNSET_SCHEDULE}}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Sunset maximum</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{{SUNSET_MAXIMUM_PERIOD}}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VAT treatment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{{VAT_TREATMENT}}</w:t>
            </w:r>
          </w:p>
        </w:tc>
      </w:tr>
    </w:tbl>
    <w:p>
      <w:r>
        <w:br w:type="page"/>
      </w:r>
    </w:p>
    <w:p>
      <w:pPr>
        <w:pStyle w:val="Heading1"/>
      </w:pPr>
      <w:r>
        <w:rPr>
          <w:rFonts w:ascii="Calibri" w:hAnsi="Calibri"/>
          <w:b/>
          <w:i w:val="0"/>
          <w:color w:val="2E74B5"/>
          <w:sz w:val="32"/>
        </w:rPr>
        <w:t>Execution</w:t>
      </w:r>
    </w:p>
    <w:p>
      <w:r>
        <w:rPr>
          <w:rFonts w:ascii="Calibri" w:hAnsi="Calibri"/>
          <w:b w:val="0"/>
          <w:i w:val="0"/>
          <w:color w:val="000000"/>
          <w:sz w:val="22"/>
        </w:rPr>
        <w:t>Each signatory confirms that they are authorised to sign, had a reasonable opportunity to obtain independent legal advice, understand the agreement and intend to be legally bound. The parties consent to counterparts and reliable electronic 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100" w:type="dxa"/>
              <w:start w:w="120" w:type="dxa"/>
              <w:bottom w:w="100" w:type="dxa"/>
              <w:end w:w="120" w:type="dxa"/>
            </w:tcMar>
          </w:tcPr>
          <w:p>
            <w:r>
              <w:rPr>
                <w:rFonts w:ascii="Calibri" w:hAnsi="Calibri"/>
                <w:b/>
                <w:i w:val="0"/>
                <w:color w:val="0B2545"/>
                <w:sz w:val="20"/>
              </w:rPr>
              <w:t>For the Manager</w:t>
            </w:r>
          </w:p>
        </w:tc>
        <w:tc>
          <w:tcPr>
            <w:tcW w:type="dxa" w:w="4680"/>
            <w:shd w:fill="E8EEF5"/>
            <w:vAlign w:val="center"/>
            <w:tcMar>
              <w:top w:w="100" w:type="dxa"/>
              <w:start w:w="120" w:type="dxa"/>
              <w:bottom w:w="100" w:type="dxa"/>
              <w:end w:w="120" w:type="dxa"/>
            </w:tcMar>
          </w:tcPr>
          <w:p>
            <w:r>
              <w:rPr>
                <w:rFonts w:ascii="Calibri" w:hAnsi="Calibri"/>
                <w:b/>
                <w:i w:val="0"/>
                <w:color w:val="0B2545"/>
                <w:sz w:val="20"/>
              </w:rPr>
              <w:t>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{{LABEL_LEGAL_NAME}}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{{ARTIST_LEGAL_NAME}}</w:t>
            </w:r>
            <w:r>
              <w:rPr>
                <w:rFonts w:ascii="Calibri" w:hAnsi="Calibri"/>
                <w:b w:val="0"/>
                <w:i w:val="0"/>
                <w:color w:val="000000"/>
                <w:sz w:val="19"/>
              </w:rPr>
              <w:t xml:space="preserve"> / </w:t>
            </w:r>
            <w:r>
              <w:rPr>
                <w:rFonts w:ascii="Calibri" w:hAnsi="Calibri"/>
                <w:b/>
                <w:i w:val="0"/>
                <w:color w:val="6B4E00"/>
                <w:sz w:val="19"/>
                <w:shd w:fill="FFF4CC"/>
              </w:rPr>
              <w:t>{{ARTIST_STAGE_NAME}}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{{LABEL_SIGNATORY_NAME}}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{{ARTIST_LEGAL_NAME}}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Title: </w:t>
            </w:r>
            <w:r>
              <w:rPr>
                <w:rFonts w:ascii="Calibri" w:hAnsi="Calibri"/>
                <w:b/>
                <w:i w:val="0"/>
                <w:color w:val="6B4E00"/>
                <w:sz w:val="19"/>
                <w:shd w:fill="FFF4CC"/>
              </w:rPr>
              <w:t>{{LABEL_SIGNATORY_TITLE}}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Title: 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{{LABEL_SIGNATURE_DATE}}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{{ARTIST_SIGNATURE_DATE}}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{{LABEL_WITNESS_NAME}}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{{ARTIST_WITNESS_NAME}}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r>
    </w:tbl>
    <w:p>
      <w:pPr>
        <w:spacing w:before="240"/>
      </w:pPr>
      <w:r>
        <w:rPr>
          <w:rFonts w:ascii="Calibri" w:hAnsi="Calibri"/>
          <w:b w:val="0"/>
          <w:i/>
          <w:color w:val="5F6B7A"/>
          <w:sz w:val="19"/>
        </w:rPr>
        <w:t>Minor-artist safeguard: if the Artist is under eighteen years of age or otherwise lacks full contractual capacity, stop this generator and obtain an attorney-prepared parent/guardian consent and court/other approval where legally required.</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val="0"/>
        <w:i w:val="0"/>
        <w:color w:val="5F6B7A"/>
        <w:sz w:val="17"/>
      </w:rPr>
      <w:t>TP-CAMP CONTRACT TEMPLATE  |  ARTIST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Artist Management Agreement</dc:title>
  <dc:subject>Editable Trinidad and Tobago music agreement template</dc:subject>
  <dc:creator>TP-CAMP Contract Generator</dc:creator>
  <cp:keywords>Trinidad and Tobago, music contract, artist, label, template</cp:keywords>
  <dc:description>generated by python-docx</dc:description>
  <cp:lastModifiedBy/>
  <cp:revision>1</cp:revision>
  <dcterms:created xsi:type="dcterms:W3CDTF">2013-12-23T23:15:00Z</dcterms:created>
  <dcterms:modified xsi:type="dcterms:W3CDTF">2013-12-23T23:15:00Z</dcterms:modified>
  <cp:category/>
</cp:coreProperties>
</file>