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ONTO INNOVATION INC.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BBCC"/>
                <w:sz w:val="24"/>
                <w:szCs w:val="24"/>
              </w:rPr>
              <w:t xml:space="preserve">NYSE: ONTO  ·  半導體量測與檢驗設備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32"/>
                <w:szCs w:val="32"/>
              </w:rPr>
              <w:t xml:space="preserve">深度研究報告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資料截至 2026 年 2 月 19 日（Q4 2025 法說會）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80"/>
        <w:gridCol w:w="2160"/>
        <w:gridCol w:w="80"/>
        <w:gridCol w:w="2160"/>
        <w:gridCol w:w="80"/>
        <w:gridCol w:w="2160"/>
        <w:gridCol w:w="80"/>
        <w:gridCol w:w="112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$1.005B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FY2025 營收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AACC"/>
                <w:sz w:val="16"/>
                <w:szCs w:val="16"/>
              </w:rPr>
              <w:t xml:space="preserve">年增 +1.8%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$267M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Q4 2025 營收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AACC"/>
                <w:sz w:val="16"/>
                <w:szCs w:val="16"/>
              </w:rPr>
              <w:t xml:space="preserve">季增 +22%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54.6%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Non-GAAP GM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AACC"/>
                <w:sz w:val="16"/>
                <w:szCs w:val="16"/>
              </w:rPr>
              <w:t xml:space="preserve">Q4 2025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$275-285M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Q1 2026 指引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AACC"/>
                <w:sz w:val="16"/>
                <w:szCs w:val="16"/>
              </w:rPr>
              <w:t xml:space="preserve">Non-GAAP EPS $1.26-1.36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AI 營收佔比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AACC"/>
                <w:sz w:val="16"/>
                <w:szCs w:val="16"/>
              </w:rPr>
              <w:t xml:space="preserve">FY2025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0392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5E"/>
          <w:sz w:val="32"/>
          <w:szCs w:val="32"/>
        </w:rPr>
        <w:t xml:space="preserve">一、公司概況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Onto Innovation Inc.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（NYSE: ONTO）是全球領先的半導體量測（Metrology）與缺陷檢驗（Inspection）設備製造商，由 Nanometrics（1975 年創立）與 Rudolph Technologies（1940 年創立）於 2019 年合併而成，總部位於美國麻薩諸塞州 Wilmington。公司產品廣泛服務先進封裝、前段晶圓製程與特殊元件等三大市場，客戶涵蓋三星半導體、SK 海力士、台積電等全球頂尖半導體廠。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核心產品線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Dragonfly 系列：2D/3D 先進封裝光學檢驗系統，服務 HBM、2.5D/3D IC 封裝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Atlas OCD：光學臨界尺寸量測，支援 GAA 先進節點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JetStep 微影系統：面板級與晶圓級基板封裝微影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Firefly：面板級基板封裝檢驗，針對深埋缺陷與氣洞空隙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Semilab SDI（2025 年 11 月收購）：半導體診斷產品線，含表面電荷量測技術</w:t>
      </w:r>
    </w:p>
    <w:p>
      <w:pPr>
        <w:spacing w:before="120" w:after="0"/>
      </w:pPr>
      <w:r>
        <w:t xml:space="preserve"/>
      </w:r>
    </w:p>
    <w:p>
      <w:pPr>
        <w:pBdr>
          <w:bottom w:val="single" w:color="C0392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5E"/>
          <w:sz w:val="32"/>
          <w:szCs w:val="32"/>
        </w:rPr>
        <w:t xml:space="preserve">二、產業定位與競爭格局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Onto Innovation 聚焦半導體製造供應鏈中「量測與過程控制」的關鍵環節，在先進封裝後段領域尤具優勢。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市場細分定位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800"/>
        <w:gridCol w:w="2280"/>
      </w:tblGrid>
      <w:tr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0D1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市場領域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0D1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ONTO 競爭地位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0D1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主要競爭者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0D1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市場成長率 25-28 CAGR</w:t>
            </w:r>
          </w:p>
        </w:tc>
      </w:tr>
      <w:tr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新電晶體技術 (GAA)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OCD 市場領導者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KLA、Nova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~25%</w:t>
            </w:r>
          </w:p>
        </w:tc>
      </w:tr>
      <w:tr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先進封裝 (2.5D+3D)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2D 檢驗 &amp; 薄膜量測領導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KLA、Camtek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~20%</w:t>
            </w:r>
          </w:p>
        </w:tc>
      </w:tr>
      <w:tr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高頻寬記憶體 (HBM)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OCD 及整合量測領導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KLA、Nova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~12%</w:t>
            </w:r>
          </w:p>
        </w:tc>
      </w:tr>
      <w:tr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光子/共封裝光學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早期市場佈局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尚未明確</w:t>
            </w:r>
          </w:p>
        </w:tc>
        <w:tc>
          <w:tcPr>
            <w:tcW w:type="dxa" w:w="25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高速成長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自動化系統主要競爭對手為 KLA 與 Nova；先進封裝檢驗市場的主要對手為 KLA 與 Camtek；先進封裝微影市場則面對 Ushio 與 Canon。</w:t>
      </w:r>
    </w:p>
    <w:p>
      <w:pPr>
        <w:spacing w:before="120" w:after="0"/>
      </w:pPr>
      <w:r>
        <w:t xml:space="preserve"/>
      </w:r>
    </w:p>
    <w:p>
      <w:pPr>
        <w:pBdr>
          <w:bottom w:val="single" w:color="C0392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5E"/>
          <w:sz w:val="32"/>
          <w:szCs w:val="32"/>
        </w:rPr>
        <w:t xml:space="preserve">三、近期財務表現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Q4 2025 及全年業績摘要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0D1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0D1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2025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0D1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營收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$266.9M (+1.1% YoY)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$1,005.3M (+1.8% YoY)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Non-GAAP 毛利率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54.6%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54.6%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GAAP 毛利率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46.4%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49.7%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Non-GAAP 營業利潤率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25.2%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25.4%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Non-GAAP EPS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$1.26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$4.94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GAAP EPS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$0.21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$2.78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現金及短期投資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$639.6M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Q4 現金流（來自營運）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$95M（季度新高）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先進封裝＋特殊元件營收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$504M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先進節點營收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$72M (+30% QoQ)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$308M（年增逾 2 倍）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GAAP vs Non-GAAP 差異說明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2025 年 GAAP 盈利顯著低於 Non-GAAP，主要因 Semilab 收購（2025 年 11 月以 $445M 現金 + 641,771 股完成）帶來大量無形資產攤銷（全年 $39.4M）、M&amp;A 相關費用（$15.7M）及重組費用（$67.3M）。扣除上述一次性項目後，核心業務盈利能力維持穩健。</w:t>
      </w:r>
    </w:p>
    <w:p>
      <w:pPr>
        <w:spacing w:before="120" w:after="0"/>
      </w:pPr>
      <w:r>
        <w:t xml:space="preserve"/>
      </w:r>
    </w:p>
    <w:p>
      <w:pPr>
        <w:pBdr>
          <w:bottom w:val="single" w:color="C0392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5E"/>
          <w:sz w:val="32"/>
          <w:szCs w:val="32"/>
        </w:rPr>
        <w:t xml:space="preserve">四、業務亮點與戰略進展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Dragonfly 次世代系統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Dragonfly 系列是 Onto 在先進封裝 2D 檢驗的旗艦平台，靈感來自蜻蜓擁有 30,000 個複合眼的仿生概念，整合可見光、UV 及偏振光多模態光學技術，可偵測 Die Warpage、Micro-Bump、有機殘留物、混合鍵合（Hybrid Bonding）次微米缺陷等多種失效模式。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次世代 Dragonfly（Dragonfly Next Gen）相較前代 Dragonfly G3 同時提升靈敏度（達 &lt;0.3µm）與吞吐量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已向三家客戶完成出貨並啟動評估；第四家客戶已下達採購訂單（PO）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Q1 2026 預計再出貨數台系統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2.5D 封裝 AI 裝置訂單 Q4 環比翻倍以上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HBM 重大訂單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公司宣布與一家 HBM 龍頭製造商（市場推測為 SK 海力士）簽訂總額逾 $2.4 億美元的長期採購合約，涵蓋 Dragonfly 2D 檢驗與 3D Bump 量測系統，支援客戶擴產計畫至 2027 年，其中 3D Bump 量測部分超過 $6,000 萬美元，顯示公司在 3D 量測的份額擴張。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Semilab 收購整合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2025 年 11 月 17 日完成收購 Semilab International 半導體診斷業務產品線（SDI），帶來表面電荷量測（Charge Metrology）、光致發光（PL）及特殊薄膜量測等技術，2026 年預計貢獻約 $1.2 億美元收入，且為毛利率加分（Accretive Margin）。Semilab 技術可解決先進封裝 Chiplet 架構中靜電積累導致的良率損失問題，被視為重要的差異化競爭優勢。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先進節點加速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先進節點（Advanced Nodes）2025 全年營收年增逾 2 倍，達 $308M，中國營收佔比已降至不足 3%，增長主要來自台積電 GAA 製程導入（Atlas G6 首批 pilot line 銷售）及 HBM4 DRAM 的 OCD 應用。2026 年整合量測已拓展至兩家邏輯客戶，預計隨 leading-edge 製程量產貢獻增量收入。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遠端工廠（越南）效益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遠端工廠（Remote Factory，位於越南）Q4 出貨比例超過 50%，超前計畫。透過在越南在地生產，預計 2026 年上半年可改善毛利率約 100 個基點，有效緩解美國對中國製造商品加徵關稅的衝擊。</w:t>
      </w:r>
    </w:p>
    <w:p>
      <w:pPr>
        <w:spacing w:before="120" w:after="0"/>
      </w:pPr>
      <w:r>
        <w:t xml:space="preserve"/>
      </w:r>
    </w:p>
    <w:p>
      <w:pPr>
        <w:pBdr>
          <w:bottom w:val="single" w:color="C0392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5E"/>
          <w:sz w:val="32"/>
          <w:szCs w:val="32"/>
        </w:rPr>
        <w:t xml:space="preserve">五、2026 年展望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Q1 2026 財務指引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0D1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0D1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低端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0D1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高端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營收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$275M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$285M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毛利率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54.6%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55.6%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GAAP 營業利潤率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14.2%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15.6%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Non-GAAP 營業利潤率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25.5%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26.5%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GAAP EPS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$0.74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$0.84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Non-GAAP EPS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$1.26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$1.36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全年 2026 業務展望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Q2 2026 營收預計突破 $3 億美元，H1 2026 核心業務較 H2 2025 成長 12-14%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H2 2026 收入預計高於 H1，全年呈加速趨勢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先進封裝市場 2026 年預計成長逾 30%，創新高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2026 年營業利潤預計成長逾 30%（受益於 Semilab 整合、新廠效益及新產品高附加值）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相關收入佔比從 2023 年 ~16% 提升至 2025 年 61%，預計 2026 年持續擴大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積壓訂單（Backlog）過去三個月幾乎翻倍，達約兩個季度的新高水位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超級大型晶圓廠（Hyperscaler）2026 年資本支出預計超過 $6,000 億美元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TSMC 2026 資本支出擴增逾 30%，拉動 WFE 市場全面回升</w:t>
      </w:r>
    </w:p>
    <w:p>
      <w:pPr>
        <w:spacing w:before="120" w:after="0"/>
      </w:pPr>
      <w:r>
        <w:t xml:space="preserve"/>
      </w:r>
    </w:p>
    <w:p>
      <w:pPr>
        <w:pBdr>
          <w:bottom w:val="single" w:color="C0392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5E"/>
          <w:sz w:val="32"/>
          <w:szCs w:val="32"/>
        </w:rPr>
        <w:t xml:space="preserve">六、地理市場分佈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0D1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地區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0D1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 佔比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0D1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主要客戶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台灣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31%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台積電（TSMC）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南韓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29%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 海力士、三星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中國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12% → 趨勢下降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China IDMs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美國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Various</w:t>
            </w:r>
          </w:p>
        </w:tc>
      </w:tr>
      <w:tr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日本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6%</w:t>
            </w:r>
          </w:p>
        </w:tc>
        <w:tc>
          <w:tcPr>
            <w:tcW w:type="dxa" w:w="312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Rapidus、日本 IDMs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中國業務從巔峰期的高佔比逐步下滑，台灣與南韓的 AI/HBM 投資填補缺口，先進節點中國佔比已降至 &lt;3%，顯示地緣政治風險顯著降低。</w:t>
      </w:r>
    </w:p>
    <w:p>
      <w:pPr>
        <w:spacing w:before="120" w:after="0"/>
      </w:pPr>
      <w:r>
        <w:t xml:space="preserve"/>
      </w:r>
    </w:p>
    <w:p>
      <w:pPr>
        <w:pBdr>
          <w:bottom w:val="single" w:color="C0392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5E"/>
          <w:sz w:val="32"/>
          <w:szCs w:val="32"/>
        </w:rPr>
        <w:t xml:space="preserve">七、主要風險因素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景氣週期性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半導體設備業高度依賴客戶資本支出週期，收入呈批次性（Lumpy），若 AI 基礎建設投資放緩，訂單能見度將快速惡化。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Semilab 整合風險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以 $4.45 億美元高溢價收購，需成功整合產品線並拓展至更廣泛客戶基礎，原規劃電動車（EV）等市場因需求疲弱而面臨短期逆風。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地緣政治與出口管制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美國對中國半導體設備出口管制持續收緊，雖然 ONTO 在中國曝險已顯著降低，但政策不確定性仍為潛在風險。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客戶集中度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台積電、SK 海力士、三星合計貢獻大部分收入，單一大客戶資本支出決策波動對業績影響顯著。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產能與供應鏈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Backlog 快速增加導致交期延長，公司正積極協調供應商與製造能力，越南工廠擴產能否如期達成，是 2026 年毛利率改善的關鍵。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D1B5E"/>
          <w:sz w:val="24"/>
          <w:szCs w:val="24"/>
        </w:rPr>
        <w:t xml:space="preserve">競爭壓力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KLA 在前段及封裝設備均具強勢地位，且資源遠大於 Onto；Camtek 在先進封裝 2D 檢驗亦持續強化競爭力，有效阻礙市占擴張的難度不低。</w:t>
      </w:r>
    </w:p>
    <w:p>
      <w:pPr>
        <w:spacing w:before="120" w:after="0"/>
      </w:pPr>
      <w:r>
        <w:t xml:space="preserve"/>
      </w:r>
    </w:p>
    <w:p>
      <w:pPr>
        <w:pBdr>
          <w:bottom w:val="single" w:color="C0392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D1B5E"/>
          <w:sz w:val="32"/>
          <w:szCs w:val="32"/>
        </w:rPr>
        <w:t xml:space="preserve">八、投資重點摘要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正面催化劑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驅動先進封裝需求爆發，2026 年 WFE 成長 10-20%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Backlog 創歷史新高，達約 2 個季度水位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Dragonfly 次世代搶占 HBM4/2.5D 評估席位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$2.4 億 HBM 長約鎖定 2027 年能見度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Semilab SDI 增添新的市場入口（表面電荷）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越南工廠降低關稅風險，預計 GM +100bps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先進節點中國曝險降至 &lt;3%，地緣風險可控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 年 EPS 加速成長（&gt;30% 營業利潤指引）</w:t>
            </w:r>
          </w:p>
        </w:tc>
        <w:tc>
          <w:tcPr>
            <w:tcW w:type="dxa" w:w="5040"/>
            <w:tcBorders>
              <w:top w:val="single" w:color="D5D9E0" w:sz="1"/>
              <w:left w:val="single" w:color="D5D9E0" w:sz="1"/>
              <w:bottom w:val="single" w:color="D5D9E0" w:sz="1"/>
              <w:right w:val="single" w:color="D5D9E0" w:sz="1"/>
            </w:tcBorders>
            <w:shd w:fill="FEEB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潛在風險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設備業週期性強，需求拉回時收入波動大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Semilab 整合若不順利將侵蝕毛利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EV/電動車市場疲弱影響 Semilab 電力半導體業務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KLA、Camtek 競爭壓力持續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客戶集中（台積電、SK 海力士）風險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GAAP 獲利因攤銷大幅低於 Non-GAAP，需留意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供應鏈緊繃可能影響出貨時程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D5D9E0" w:sz="4" w:space="6"/>
        </w:pBdr>
        <w:spacing w:before="8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免責聲明：本報告係依據公開資訊整理而成，僅供研究參考，不構成任何投資建議或要約。投資涉及風險，市場價格可能下跌，請自行評估風險並諮詢專業顧問。資料來源：Onto Innovation 公司公告（2026-02-19）、SEC 文件、January 2026 Fireside Chat Investor Presentation、公開財務資訊及研究報告。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9E0" w:sz="4" w:space="4"/>
      </w:pBdr>
    </w:pPr>
    <w:r>
      <w:rPr>
        <w:rFonts w:ascii="Arial" w:cs="Arial" w:eastAsia="Arial" w:hAnsi="Arial"/>
        <w:color w:val="AAAAAA"/>
        <w:sz w:val="16"/>
        <w:szCs w:val="16"/>
      </w:rPr>
      <w:t xml:space="preserve">本報告僅供參考，不構成投資建議。資料來源：公司公告、SEC 文件及公開資訊。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B5E" w:sz="4" w:space="4"/>
      </w:pBdr>
    </w:pPr>
    <w:r>
      <w:rPr>
        <w:rFonts w:ascii="Arial" w:cs="Arial" w:eastAsia="Arial" w:hAnsi="Arial"/>
        <w:b/>
        <w:bCs/>
        <w:color w:val="0D1B5E"/>
        <w:sz w:val="18"/>
        <w:szCs w:val="18"/>
      </w:rPr>
      <w:t xml:space="preserve">Onto Innovation (ONTO) — </w:t>
    </w:r>
    <w:r>
      <w:rPr>
        <w:rFonts w:ascii="Arial" w:cs="Arial" w:eastAsia="Arial" w:hAnsi="Arial"/>
        <w:color w:val="888888"/>
        <w:sz w:val="18"/>
        <w:szCs w:val="18"/>
      </w:rPr>
      <w:t xml:space="preserve">深度研究報告  |  2026 年 3 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2026-03-22T23:28:29.177Z</dcterms:created>
  <dcterms:modified xsi:type="dcterms:W3CDTF">2026-03-22T23:28:29.177Z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