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lang w:val="en-US"/>
        </w:rPr>
      </w:pPr>
      <w:r>
        <w:rPr>
          <w:lang w:val="en-US"/>
        </w:rPr>
        <w:t>GeN-Foam: howTo</w:t>
      </w:r>
    </w:p>
    <w:p>
      <w:pPr>
        <w:pStyle w:val="Normal"/>
        <w:rPr>
          <w:lang w:val="en-US"/>
        </w:rPr>
      </w:pPr>
      <w:r>
        <w:rPr>
          <w:lang w:val="en-US"/>
        </w:rPr>
        <w:t>Using GeN-Foam requires a basic knowledge of OpenFOAM [1]. In view of its complexity, this document has been written aiming at facilitating its use. In addition, one tutorial (ESFR3D_small) has been prepared. It is a 3-D model for the primary pool of the European Sodium Fast Reactor (ESFR) [2]. An EMPTY case is also provided that can be used for building step by step one’s own case.</w:t>
      </w:r>
    </w:p>
    <w:p>
      <w:pPr>
        <w:pStyle w:val="Heading1"/>
        <w:rPr>
          <w:lang w:val="en-US"/>
        </w:rPr>
      </w:pPr>
      <w:r>
        <w:rPr>
          <w:lang w:val="en-US"/>
        </w:rPr>
        <w:t xml:space="preserve">Compiling </w:t>
      </w:r>
    </w:p>
    <w:p>
      <w:pPr>
        <w:pStyle w:val="Normal"/>
        <w:rPr/>
      </w:pPr>
      <w:r>
        <w:rPr>
          <w:lang w:val="en-US"/>
        </w:rPr>
        <w:t xml:space="preserve">GeN-Foam is built as a standard OpenFOAM solver. As such, one should first install the latest OpenFOAM version and then compile GeN-Foam </w:t>
      </w:r>
      <w:r>
        <w:rPr>
          <w:rFonts w:cs="Arial" w:ascii="Arial" w:hAnsi="Arial"/>
          <w:color w:val="000000"/>
          <w:sz w:val="18"/>
          <w:szCs w:val="18"/>
          <w:highlight w:val="white"/>
          <w:lang w:val="en-US"/>
        </w:rPr>
        <w:t>by  typing in a terminal</w:t>
      </w:r>
    </w:p>
    <w:p>
      <w:pPr>
        <w:pStyle w:val="Normal"/>
        <w:ind w:left="567" w:right="0" w:hanging="0"/>
        <w:rPr>
          <w:i/>
          <w:i/>
          <w:lang w:val="en-US"/>
        </w:rPr>
      </w:pPr>
      <w:r>
        <w:rPr>
          <w:i/>
          <w:lang w:val="en-US"/>
        </w:rPr>
        <w:t xml:space="preserve">wmake </w:t>
      </w:r>
    </w:p>
    <w:p>
      <w:pPr>
        <w:pStyle w:val="Normal"/>
        <w:rPr>
          <w:lang w:val="en-US"/>
        </w:rPr>
      </w:pPr>
      <w:r>
        <w:rPr>
          <w:lang w:val="en-US"/>
        </w:rPr>
        <w:t>from the GeN-Foam source code folder.</w:t>
      </w:r>
    </w:p>
    <w:p>
      <w:pPr>
        <w:pStyle w:val="Heading1"/>
        <w:rPr>
          <w:lang w:val="en-US"/>
        </w:rPr>
      </w:pPr>
      <w:r>
        <w:rPr>
          <w:lang w:val="en-US"/>
        </w:rPr>
        <w:t>Preprocessing</w:t>
      </w:r>
    </w:p>
    <w:p>
      <w:pPr>
        <w:pStyle w:val="Normal"/>
        <w:rPr>
          <w:lang w:val="en-US"/>
        </w:rPr>
      </w:pPr>
      <w:r>
        <w:rPr>
          <w:lang w:val="en-US"/>
        </w:rPr>
        <w:t>Before running GeN-Foam, one is supposed to provide meshes, physical properties, discretization methods (if one does not want to use the default ones) and solution details.</w:t>
      </w:r>
    </w:p>
    <w:p>
      <w:pPr>
        <w:pStyle w:val="Normal"/>
        <w:rPr>
          <w:lang w:val="en-US"/>
        </w:rPr>
      </w:pPr>
      <w:r>
        <w:rPr>
          <w:lang w:val="en-US"/>
        </w:rPr>
        <w:t>N.B. A dummy mesh must always be present in all physics directories, even if not solved for. The EMPTY case is already provided with minimal dummy meshes.</w:t>
      </w:r>
    </w:p>
    <w:p>
      <w:pPr>
        <w:pStyle w:val="Heading3"/>
        <w:rPr>
          <w:lang w:val="en-US"/>
        </w:rPr>
      </w:pPr>
      <w:r>
        <w:rPr>
          <w:lang w:val="en-US"/>
        </w:rPr>
        <w:t>Meshes</w:t>
      </w:r>
    </w:p>
    <w:p>
      <w:pPr>
        <w:pStyle w:val="Normal"/>
        <w:rPr>
          <w:lang w:val="en-US"/>
        </w:rPr>
      </w:pPr>
      <w:r>
        <w:rPr>
          <w:lang w:val="en-US"/>
        </w:rPr>
        <w:t>GeN-Foam uses three different meshes for neutronics, thermal-hydraulics and thermal-mechanics. There is no requirement for the three meshes to occupy the same region of space. Consistent mapping of fields is performed and a reference value is given to a field if no correspondence is found in the mesh where its value is being projected from. It follows that the geometry for neutronics can include without problems only a small part of the overall reactor geometry.  Meshes can be created with every OpenFoam-compatible tool. Meshes should be divided into mesh zones (cellZones) to allow the use of different physical properties (e.g., cross sections) in different reactor regions. SOmetimes, when converting a mesh to the polymesh format, cellSets (and not cellZones) are created. The topoSetDict must be set and used to convert cellSets to cellZones.</w:t>
      </w:r>
    </w:p>
    <w:p>
      <w:pPr>
        <w:pStyle w:val="Normal"/>
        <w:rPr/>
      </w:pPr>
      <w:r>
        <w:rPr>
          <w:lang w:val="en-US"/>
        </w:rPr>
        <w:t>The ESFR3D_small tutorial includes an example of mesh generation with Gmsh (</w:t>
      </w:r>
      <w:hyperlink r:id="rId2">
        <w:r>
          <w:rPr>
            <w:rStyle w:val="InternetLink"/>
            <w:lang w:val="en-US"/>
          </w:rPr>
          <w:t>http://geuz.org/gmsh/</w:t>
        </w:r>
      </w:hyperlink>
      <w:r>
        <w:rPr>
          <w:lang w:val="en-US"/>
        </w:rPr>
        <w:t>) [3]. The folder includes the subfolder “</w:t>
      </w:r>
      <w:r>
        <w:rPr>
          <w:i/>
          <w:lang w:val="en-US"/>
        </w:rPr>
        <w:t>3dESFRMesh</w:t>
      </w:r>
      <w:r>
        <w:rPr>
          <w:lang w:val="en-US"/>
        </w:rPr>
        <w:t xml:space="preserve">” containing three subfolders for the generation of the meshes for neutronics, thermal-hydraulics and thermal-mechanics. To create the 3D ESFR core geometry, one should execute the following command in a terminal: </w:t>
      </w:r>
    </w:p>
    <w:p>
      <w:pPr>
        <w:pStyle w:val="Normal"/>
        <w:ind w:left="0" w:right="0" w:firstLine="708"/>
        <w:rPr>
          <w:i/>
          <w:i/>
          <w:lang w:val="en-US"/>
        </w:rPr>
      </w:pPr>
      <w:r>
        <w:rPr>
          <w:i/>
          <w:lang w:val="en-US"/>
        </w:rPr>
        <w:t xml:space="preserve">gmsh esfMain.geo </w:t>
      </w:r>
    </w:p>
    <w:p>
      <w:pPr>
        <w:pStyle w:val="Normal"/>
        <w:rPr>
          <w:lang w:val="en-US"/>
        </w:rPr>
      </w:pPr>
      <w:r>
        <w:rPr>
          <w:lang w:val="en-US"/>
        </w:rPr>
        <w:t xml:space="preserve">This will create (after a relatively long time) a geometry and open the Gmsh graphical interface. The geometry must then be meshed and the mesh saved and copied in the root of the ESF3D_small folder. By  typing in a terminal </w:t>
      </w:r>
    </w:p>
    <w:p>
      <w:pPr>
        <w:pStyle w:val="Normal"/>
        <w:ind w:left="0" w:right="0" w:firstLine="708"/>
        <w:rPr>
          <w:i/>
          <w:i/>
          <w:lang w:val="en-US"/>
        </w:rPr>
      </w:pPr>
      <w:r>
        <w:rPr>
          <w:i/>
          <w:lang w:val="en-US"/>
        </w:rPr>
        <w:t xml:space="preserve">gmshToFoam (name of mesh file) </w:t>
      </w:r>
    </w:p>
    <w:p>
      <w:pPr>
        <w:pStyle w:val="Normal"/>
        <w:rPr/>
      </w:pPr>
      <w:r>
        <w:rPr>
          <w:lang w:val="en-US"/>
        </w:rPr>
        <w:t>a “</w:t>
      </w:r>
      <w:r>
        <w:rPr>
          <w:i/>
          <w:lang w:val="en-US"/>
        </w:rPr>
        <w:t>polyMesh</w:t>
      </w:r>
      <w:r>
        <w:rPr>
          <w:lang w:val="en-US"/>
        </w:rPr>
        <w:t>” folder will be created or updated in the folder “</w:t>
      </w:r>
      <w:r>
        <w:rPr>
          <w:i/>
          <w:lang w:val="en-US"/>
        </w:rPr>
        <w:t>constant</w:t>
      </w:r>
      <w:r>
        <w:rPr>
          <w:lang w:val="en-US"/>
        </w:rPr>
        <w:t>”. One should then copy this folder in “</w:t>
      </w:r>
      <w:r>
        <w:rPr>
          <w:i/>
          <w:lang w:val="en-US"/>
        </w:rPr>
        <w:t>constant/neutroRegion</w:t>
      </w:r>
      <w:r>
        <w:rPr>
          <w:lang w:val="en-US"/>
        </w:rPr>
        <w:t>”, “</w:t>
      </w:r>
      <w:r>
        <w:rPr>
          <w:i/>
          <w:lang w:val="en-US"/>
        </w:rPr>
        <w:t>constant/fluidRegion</w:t>
      </w:r>
      <w:r>
        <w:rPr>
          <w:lang w:val="en-US"/>
        </w:rPr>
        <w:t>” or “</w:t>
      </w:r>
      <w:r>
        <w:rPr>
          <w:i/>
          <w:lang w:val="en-US"/>
        </w:rPr>
        <w:t>constant/ thermoMechanicalRegion</w:t>
      </w:r>
      <w:r>
        <w:rPr>
          <w:lang w:val="en-US"/>
        </w:rPr>
        <w:t>”, and repeat the operation for all the three meshes.</w:t>
      </w:r>
    </w:p>
    <w:p>
      <w:pPr>
        <w:pStyle w:val="Heading3"/>
        <w:rPr>
          <w:lang w:val="en-US"/>
        </w:rPr>
      </w:pPr>
      <w:r>
        <w:rPr>
          <w:lang w:val="en-US"/>
        </w:rPr>
        <w:t>Physical properties</w:t>
      </w:r>
    </w:p>
    <w:p>
      <w:pPr>
        <w:pStyle w:val="Normal"/>
        <w:rPr>
          <w:lang w:val="en-US"/>
        </w:rPr>
      </w:pPr>
      <w:r>
        <w:rPr>
          <w:lang w:val="en-US"/>
        </w:rPr>
        <w:t>All necessary data for the GeN-Foam simulations should be included in the following input files (dictionaries):</w:t>
      </w:r>
    </w:p>
    <w:p>
      <w:pPr>
        <w:pStyle w:val="ListParagraph"/>
        <w:numPr>
          <w:ilvl w:val="0"/>
          <w:numId w:val="1"/>
        </w:numPr>
        <w:rPr/>
      </w:pPr>
      <w:r>
        <w:rPr>
          <w:i/>
          <w:lang w:val="en-US"/>
        </w:rPr>
        <w:t xml:space="preserve">constant/ thermoMechanicalRegion / thermoMechanicalProperties </w:t>
      </w:r>
      <w:r>
        <w:rPr>
          <w:lang w:val="en-US"/>
        </w:rPr>
        <w:t>–thermo-mechanical properties of structures, subdivided according to the mesh zones in the thermo-mechanical mesh.</w:t>
      </w:r>
    </w:p>
    <w:p>
      <w:pPr>
        <w:pStyle w:val="ListParagraph"/>
        <w:numPr>
          <w:ilvl w:val="0"/>
          <w:numId w:val="1"/>
        </w:numPr>
        <w:rPr/>
      </w:pPr>
      <w:r>
        <w:rPr>
          <w:i/>
          <w:lang w:val="en-US"/>
        </w:rPr>
        <w:t>constant/fluidRegion/beta</w:t>
      </w:r>
      <w:r>
        <w:rPr>
          <w:lang w:val="en-US"/>
        </w:rPr>
        <w:t xml:space="preserve"> and </w:t>
      </w:r>
      <w:r>
        <w:rPr>
          <w:i/>
          <w:lang w:val="en-US"/>
        </w:rPr>
        <w:t>constant/fluid/Tref</w:t>
      </w:r>
      <w:r>
        <w:rPr>
          <w:lang w:val="en-US"/>
        </w:rPr>
        <w:t xml:space="preserve"> – thermal expansion coefficient for the coolant and reference temperature to evaluate the gravitational force in case of incompressible simulations  with constant coolant density (Boussinesq approximation).</w:t>
      </w:r>
    </w:p>
    <w:p>
      <w:pPr>
        <w:pStyle w:val="ListParagraph"/>
        <w:numPr>
          <w:ilvl w:val="0"/>
          <w:numId w:val="1"/>
        </w:numPr>
        <w:rPr/>
      </w:pPr>
      <w:r>
        <w:rPr>
          <w:i/>
          <w:lang w:val="en-US"/>
        </w:rPr>
        <w:t>constant/fluidRegion/g</w:t>
      </w:r>
      <w:r>
        <w:rPr>
          <w:lang w:val="en-US"/>
        </w:rPr>
        <w:t xml:space="preserve"> – gravitational acceleration</w:t>
      </w:r>
    </w:p>
    <w:p>
      <w:pPr>
        <w:pStyle w:val="ListParagraph"/>
        <w:numPr>
          <w:ilvl w:val="0"/>
          <w:numId w:val="1"/>
        </w:numPr>
        <w:rPr/>
      </w:pPr>
      <w:r>
        <w:rPr>
          <w:i/>
          <w:lang w:val="en-US"/>
        </w:rPr>
        <w:t>constant/fluidRegion/ fuelProperties</w:t>
      </w:r>
      <w:r>
        <w:rPr>
          <w:lang w:val="en-US"/>
        </w:rPr>
        <w:t xml:space="preserve"> – properties of the sub-scale fuel, for each mesh zone that contains the fuel</w:t>
      </w:r>
    </w:p>
    <w:p>
      <w:pPr>
        <w:pStyle w:val="ListParagraph"/>
        <w:numPr>
          <w:ilvl w:val="0"/>
          <w:numId w:val="1"/>
        </w:numPr>
        <w:rPr/>
      </w:pPr>
      <w:r>
        <w:rPr>
          <w:i/>
          <w:lang w:val="en-US"/>
        </w:rPr>
        <w:t>constant/fluidRegion/ porousMediumProperties</w:t>
      </w:r>
      <w:r>
        <w:rPr>
          <w:lang w:val="en-US"/>
        </w:rPr>
        <w:t xml:space="preserve"> – properties of the sub-scale porous structure for each mesh zone that contains a porous structure. Clear fluid is assumed for unspecified zones.</w:t>
      </w:r>
    </w:p>
    <w:p>
      <w:pPr>
        <w:pStyle w:val="ListParagraph"/>
        <w:numPr>
          <w:ilvl w:val="0"/>
          <w:numId w:val="1"/>
        </w:numPr>
        <w:rPr/>
      </w:pPr>
      <w:r>
        <w:rPr>
          <w:i/>
          <w:lang w:val="en-US"/>
        </w:rPr>
        <w:t>constant/fluidRegion/ RASProperties</w:t>
      </w:r>
      <w:r>
        <w:rPr>
          <w:lang w:val="en-US"/>
        </w:rPr>
        <w:t xml:space="preserve"> and </w:t>
      </w:r>
      <w:r>
        <w:rPr>
          <w:i/>
          <w:lang w:val="en-US"/>
        </w:rPr>
        <w:t>constant/fluidRegion/ turbulenceProperties</w:t>
      </w:r>
      <w:r>
        <w:rPr>
          <w:lang w:val="en-US"/>
        </w:rPr>
        <w:t xml:space="preserve"> – standard OpenFOAM dictionaries to define the turbulence model to be used</w:t>
      </w:r>
    </w:p>
    <w:p>
      <w:pPr>
        <w:pStyle w:val="ListParagraph"/>
        <w:numPr>
          <w:ilvl w:val="0"/>
          <w:numId w:val="1"/>
        </w:numPr>
        <w:rPr/>
      </w:pPr>
      <w:r>
        <w:rPr>
          <w:i/>
          <w:lang w:val="en-US"/>
        </w:rPr>
        <w:t>constant/fluidRegion/ RASProperties</w:t>
      </w:r>
      <w:r>
        <w:rPr>
          <w:lang w:val="en-US"/>
        </w:rPr>
        <w:t xml:space="preserve"> and </w:t>
      </w:r>
      <w:r>
        <w:rPr>
          <w:i/>
          <w:lang w:val="en-US"/>
        </w:rPr>
        <w:t>constant/fluidRegion/ thermophysicalProperties</w:t>
      </w:r>
      <w:r>
        <w:rPr>
          <w:lang w:val="en-US"/>
        </w:rPr>
        <w:t xml:space="preserve"> – standard OpenFOAM dictionary to define the thermophysical properties of the coolant</w:t>
      </w:r>
    </w:p>
    <w:p>
      <w:pPr>
        <w:pStyle w:val="ListParagraph"/>
        <w:numPr>
          <w:ilvl w:val="0"/>
          <w:numId w:val="4"/>
        </w:numPr>
        <w:rPr/>
      </w:pPr>
      <w:r>
        <w:rPr>
          <w:i/>
          <w:lang w:val="en-US"/>
        </w:rPr>
        <w:t>constant/ neutroRegion /nuclearData</w:t>
      </w:r>
      <w:r>
        <w:rPr>
          <w:lang w:val="en-US"/>
        </w:rPr>
        <w:t xml:space="preserve">– contains all basic nuclear properties and cross-sections for the reference reactor state. The other </w:t>
      </w:r>
      <w:r>
        <w:rPr>
          <w:i/>
          <w:lang w:val="en-US"/>
        </w:rPr>
        <w:t>nuclearData</w:t>
      </w:r>
      <w:r>
        <w:rPr>
          <w:lang w:val="en-US"/>
        </w:rPr>
        <w:t>.* files in “</w:t>
      </w:r>
      <w:r>
        <w:rPr>
          <w:i/>
          <w:lang w:val="en-US"/>
        </w:rPr>
        <w:t>constant/neutronics/”</w:t>
      </w:r>
      <w:r>
        <w:rPr>
          <w:lang w:val="en-US"/>
        </w:rPr>
        <w:t xml:space="preserve"> should include the cross-sections for perturbed reactor states. Linear interpolation is performed by GeN-Foam between reference and perturbed reactor states, except for fuel temperature, for which a logarithmic interpolation is provided.  If no data are provided, the reference cross sections are used. Nuclear data can be generated using whatever nuclear code.  The </w:t>
      </w:r>
      <w:r>
        <w:rPr>
          <w:i/>
          <w:lang w:val="en-US"/>
        </w:rPr>
        <w:t>serpentToFoamXS.m</w:t>
      </w:r>
      <w:r>
        <w:rPr>
          <w:lang w:val="en-US"/>
        </w:rPr>
        <w:t xml:space="preserve"> file provided with GeN-Foam is a Matlab script that automatically converts serpent output files into the nuclear data files employed by GeN-Foam.</w:t>
      </w:r>
    </w:p>
    <w:p>
      <w:pPr>
        <w:pStyle w:val="ListParagraph"/>
        <w:numPr>
          <w:ilvl w:val="0"/>
          <w:numId w:val="4"/>
        </w:numPr>
        <w:rPr/>
      </w:pPr>
      <w:r>
        <w:rPr>
          <w:i/>
          <w:lang w:val="en-US"/>
        </w:rPr>
        <w:t xml:space="preserve">constant/ neutroRegion /CRMove – </w:t>
      </w:r>
      <w:r>
        <w:rPr>
          <w:lang w:val="en-US"/>
        </w:rPr>
        <w:t>contains input data for control rods movement. Control rods can be moved from the initial position to a new one by selecting initial and final time of the insertion/extraction and the speed of insertion/extraction (positive speed for insertion)</w:t>
      </w:r>
    </w:p>
    <w:p>
      <w:pPr>
        <w:pStyle w:val="ListParagraph"/>
        <w:ind w:left="720" w:right="0" w:hanging="0"/>
        <w:rPr>
          <w:lang w:val="en-US"/>
        </w:rPr>
      </w:pPr>
      <w:r>
        <w:rPr>
          <w:lang w:val="en-US"/>
        </w:rPr>
      </w:r>
    </w:p>
    <w:p>
      <w:pPr>
        <w:pStyle w:val="ListParagraph"/>
        <w:ind w:left="720" w:right="0" w:hanging="0"/>
        <w:rPr/>
      </w:pPr>
      <w:r>
        <w:rPr>
          <w:lang w:val="en-US"/>
        </w:rPr>
        <w:t xml:space="preserve">N.B.: the  </w:t>
      </w:r>
      <w:r>
        <w:rPr>
          <w:i/>
          <w:lang w:val="en-US"/>
        </w:rPr>
        <w:t xml:space="preserve">nuclearData* </w:t>
      </w:r>
      <w:r>
        <w:rPr>
          <w:i w:val="false"/>
          <w:iCs w:val="false"/>
          <w:lang w:val="en-US"/>
        </w:rPr>
        <w:t>files must always be present, even when not parametrizing cross-sections. If no parametrization is needed, the “zone” card must be left “blank” as:</w:t>
      </w:r>
    </w:p>
    <w:p>
      <w:pPr>
        <w:pStyle w:val="ListParagraph"/>
        <w:ind w:left="720" w:right="0" w:hanging="0"/>
        <w:rPr>
          <w:i w:val="false"/>
          <w:i w:val="false"/>
          <w:iCs w:val="false"/>
          <w:lang w:val="en-US"/>
        </w:rPr>
      </w:pPr>
      <w:r>
        <w:rPr>
          <w:i w:val="false"/>
          <w:iCs w:val="false"/>
          <w:lang w:val="en-US"/>
        </w:rPr>
      </w:r>
    </w:p>
    <w:p>
      <w:pPr>
        <w:pStyle w:val="ListParagraph"/>
        <w:ind w:left="720" w:right="0" w:hanging="0"/>
        <w:rPr>
          <w:i/>
          <w:i/>
          <w:iCs/>
        </w:rPr>
      </w:pPr>
      <w:r>
        <w:rPr>
          <w:i/>
          <w:iCs/>
        </w:rPr>
        <w:t xml:space="preserve">zones </w:t>
      </w:r>
    </w:p>
    <w:p>
      <w:pPr>
        <w:pStyle w:val="ListParagraph"/>
        <w:ind w:left="720" w:right="0" w:hanging="0"/>
        <w:rPr>
          <w:i/>
          <w:i/>
          <w:iCs/>
        </w:rPr>
      </w:pPr>
      <w:r>
        <w:rPr>
          <w:i/>
          <w:iCs/>
        </w:rPr>
        <w:t xml:space="preserve"> </w:t>
      </w:r>
      <w:r>
        <w:rPr>
          <w:i/>
          <w:iCs/>
        </w:rPr>
        <w:t xml:space="preserve">( </w:t>
      </w:r>
    </w:p>
    <w:p>
      <w:pPr>
        <w:pStyle w:val="ListParagraph"/>
        <w:ind w:left="720" w:right="0" w:hanging="0"/>
        <w:rPr>
          <w:i/>
          <w:i/>
          <w:iCs/>
        </w:rPr>
      </w:pPr>
      <w:r>
        <w:rPr>
          <w:i/>
          <w:iCs/>
        </w:rPr>
      </w:r>
    </w:p>
    <w:p>
      <w:pPr>
        <w:pStyle w:val="ListParagraph"/>
        <w:ind w:left="720" w:right="0" w:hanging="0"/>
        <w:rPr>
          <w:i/>
          <w:i/>
          <w:iCs/>
        </w:rPr>
      </w:pPr>
      <w:r>
        <w:rPr>
          <w:i/>
          <w:iCs/>
        </w:rPr>
      </w:r>
    </w:p>
    <w:p>
      <w:pPr>
        <w:pStyle w:val="ListParagraph"/>
        <w:ind w:left="720" w:right="0" w:hanging="0"/>
        <w:rPr>
          <w:i/>
          <w:i/>
          <w:iCs/>
        </w:rPr>
      </w:pPr>
      <w:r>
        <w:rPr>
          <w:i/>
          <w:iCs/>
        </w:rPr>
        <w:t xml:space="preserve"> </w:t>
      </w:r>
      <w:r>
        <w:rPr>
          <w:i/>
          <w:iCs/>
        </w:rPr>
        <w:t xml:space="preserve">); </w:t>
      </w:r>
    </w:p>
    <w:p>
      <w:pPr>
        <w:pStyle w:val="Heading3"/>
        <w:rPr>
          <w:lang w:val="en-US"/>
        </w:rPr>
      </w:pPr>
      <w:r>
        <w:rPr>
          <w:lang w:val="en-US"/>
        </w:rPr>
        <w:t>Discretization and solution</w:t>
      </w:r>
    </w:p>
    <w:p>
      <w:pPr>
        <w:pStyle w:val="Normal"/>
        <w:rPr/>
      </w:pPr>
      <w:r>
        <w:rPr>
          <w:lang w:val="en-US"/>
        </w:rPr>
        <w:t xml:space="preserve">Details for discretization and solution of equations are handled in a standard OpenFOAM way, i.e., through the </w:t>
      </w:r>
      <w:r>
        <w:rPr>
          <w:i/>
          <w:lang w:val="en-US"/>
        </w:rPr>
        <w:t>fvSolution</w:t>
      </w:r>
      <w:r>
        <w:rPr>
          <w:lang w:val="en-US"/>
        </w:rPr>
        <w:t xml:space="preserve"> and </w:t>
      </w:r>
      <w:r>
        <w:rPr>
          <w:i/>
          <w:lang w:val="en-US"/>
        </w:rPr>
        <w:t>fvSchemes</w:t>
      </w:r>
      <w:r>
        <w:rPr>
          <w:lang w:val="en-US"/>
        </w:rPr>
        <w:t xml:space="preserve"> dictionaries in “</w:t>
      </w:r>
      <w:r>
        <w:rPr>
          <w:i/>
          <w:lang w:val="en-US"/>
        </w:rPr>
        <w:t>constant/ neutroRegion</w:t>
      </w:r>
      <w:r>
        <w:rPr>
          <w:lang w:val="en-US"/>
        </w:rPr>
        <w:t>”, “</w:t>
      </w:r>
      <w:r>
        <w:rPr>
          <w:i/>
          <w:lang w:val="en-US"/>
        </w:rPr>
        <w:t>constant/fluidRegion</w:t>
      </w:r>
      <w:r>
        <w:rPr>
          <w:lang w:val="en-US"/>
        </w:rPr>
        <w:t>” or “</w:t>
      </w:r>
      <w:r>
        <w:rPr>
          <w:i/>
          <w:lang w:val="en-US"/>
        </w:rPr>
        <w:t>constant/ thermalMechanicalRegion</w:t>
      </w:r>
      <w:r>
        <w:rPr>
          <w:lang w:val="en-US"/>
        </w:rPr>
        <w:t xml:space="preserve">”. Solution details are determined through the </w:t>
      </w:r>
      <w:r>
        <w:rPr>
          <w:i/>
          <w:lang w:val="en-US"/>
        </w:rPr>
        <w:t>controlDict</w:t>
      </w:r>
      <w:r>
        <w:rPr>
          <w:lang w:val="en-US"/>
        </w:rPr>
        <w:t xml:space="preserve"> in the“</w:t>
      </w:r>
      <w:r>
        <w:rPr>
          <w:i/>
          <w:lang w:val="en-US"/>
        </w:rPr>
        <w:t>system</w:t>
      </w:r>
      <w:r>
        <w:rPr>
          <w:lang w:val="en-US"/>
        </w:rPr>
        <w:t xml:space="preserve">” folder. The </w:t>
      </w:r>
      <w:r>
        <w:rPr>
          <w:i/>
          <w:lang w:val="en-US"/>
        </w:rPr>
        <w:t>controlDict</w:t>
      </w:r>
      <w:r>
        <w:rPr>
          <w:lang w:val="en-US"/>
        </w:rPr>
        <w:t xml:space="preserve"> is widely extended compared to a standard OpenFOAM </w:t>
      </w:r>
      <w:r>
        <w:rPr>
          <w:i/>
          <w:lang w:val="en-US"/>
        </w:rPr>
        <w:t>controlDict</w:t>
      </w:r>
      <w:r>
        <w:rPr>
          <w:lang w:val="en-US"/>
        </w:rPr>
        <w:t>. Examples of controlDicts are provided in the “</w:t>
      </w:r>
      <w:r>
        <w:rPr>
          <w:i/>
          <w:iCs/>
          <w:lang w:val="en-US"/>
        </w:rPr>
        <w:t>system”</w:t>
      </w:r>
      <w:r>
        <w:rPr>
          <w:i w:val="false"/>
          <w:iCs w:val="false"/>
          <w:lang w:val="en-US"/>
        </w:rPr>
        <w:t xml:space="preserve"> folder</w:t>
      </w:r>
      <w:r>
        <w:rPr>
          <w:lang w:val="en-US"/>
        </w:rPr>
        <w:t xml:space="preserve"> for obtaining a steady state, and a transient solution starting from the obtained steady state. </w:t>
      </w:r>
    </w:p>
    <w:p>
      <w:pPr>
        <w:pStyle w:val="Normal"/>
        <w:rPr>
          <w:lang w:val="en-US"/>
        </w:rPr>
      </w:pPr>
      <w:r>
        <w:rPr>
          <w:lang w:val="en-US"/>
        </w:rPr>
        <w:t>N.B.: After obtaining a steady sate using an eigenvalue solver, the obtained keff must be put in nuclearData to have a transient solution with initial zero reactivity (if running the transient without additional perturbations, one should then see a constant reactor power.)</w:t>
      </w:r>
    </w:p>
    <w:p>
      <w:pPr>
        <w:pStyle w:val="Heading1"/>
        <w:rPr>
          <w:lang w:val="en-US"/>
        </w:rPr>
      </w:pPr>
      <w:r>
        <w:rPr>
          <w:lang w:val="en-US"/>
        </w:rPr>
        <w:t>Running</w:t>
      </w:r>
    </w:p>
    <w:p>
      <w:pPr>
        <w:pStyle w:val="Normal"/>
        <w:rPr>
          <w:lang w:val="en-US"/>
        </w:rPr>
      </w:pPr>
      <w:r>
        <w:rPr>
          <w:lang w:val="en-US"/>
        </w:rPr>
        <w:t>GeN-Foam should be launched like a standard OpenFOAM solver, by executing the following commands in a terminal:</w:t>
      </w:r>
    </w:p>
    <w:p>
      <w:pPr>
        <w:pStyle w:val="Normal"/>
        <w:ind w:left="0" w:right="0" w:firstLine="708"/>
        <w:rPr>
          <w:i/>
          <w:i/>
          <w:lang w:val="en-US"/>
        </w:rPr>
      </w:pPr>
      <w:r>
        <w:rPr>
          <w:i/>
          <w:lang w:val="en-US"/>
        </w:rPr>
        <w:t>GeN-Foam</w:t>
      </w:r>
    </w:p>
    <w:p>
      <w:pPr>
        <w:pStyle w:val="Normal"/>
        <w:rPr>
          <w:lang w:val="en-US"/>
        </w:rPr>
      </w:pPr>
      <w:r>
        <w:rPr>
          <w:lang w:val="en-US"/>
        </w:rPr>
        <w:t>or</w:t>
      </w:r>
    </w:p>
    <w:p>
      <w:pPr>
        <w:pStyle w:val="Normal"/>
        <w:ind w:left="0" w:right="0" w:firstLine="708"/>
        <w:rPr>
          <w:i/>
          <w:i/>
          <w:lang w:val="en-US"/>
        </w:rPr>
      </w:pPr>
      <w:r>
        <w:rPr>
          <w:i/>
          <w:lang w:val="en-US"/>
        </w:rPr>
        <w:t>mpirun –np (number of processors) GeN-Foam -parallel</w:t>
      </w:r>
    </w:p>
    <w:p>
      <w:pPr>
        <w:pStyle w:val="Normal"/>
        <w:rPr>
          <w:lang w:val="en-US"/>
        </w:rPr>
      </w:pPr>
      <w:r>
        <w:rPr>
          <w:lang w:val="en-US"/>
        </w:rPr>
        <w:t>In case of parallel calculations, one should decompose each one of the three meshes using the command</w:t>
      </w:r>
    </w:p>
    <w:p>
      <w:pPr>
        <w:pStyle w:val="Normal"/>
        <w:ind w:left="0" w:right="0" w:firstLine="708"/>
        <w:rPr>
          <w:i/>
          <w:i/>
          <w:lang w:val="en-US"/>
        </w:rPr>
      </w:pPr>
      <w:r>
        <w:rPr>
          <w:i/>
          <w:lang w:val="en-US"/>
        </w:rPr>
        <w:t>decomposPar –region (region name)</w:t>
      </w:r>
    </w:p>
    <w:p>
      <w:pPr>
        <w:pStyle w:val="Normal"/>
        <w:rPr/>
      </w:pPr>
      <w:r>
        <w:rPr>
          <w:lang w:val="en-US"/>
        </w:rPr>
        <w:t xml:space="preserve">where the region name is </w:t>
      </w:r>
      <w:bookmarkStart w:id="0" w:name="__DdeLink__2024_1958483081"/>
      <w:r>
        <w:rPr>
          <w:i/>
          <w:lang w:val="en-US"/>
        </w:rPr>
        <w:t>fluidRegion</w:t>
      </w:r>
      <w:bookmarkEnd w:id="0"/>
      <w:r>
        <w:rPr>
          <w:lang w:val="en-US"/>
        </w:rPr>
        <w:t xml:space="preserve">, </w:t>
      </w:r>
      <w:r>
        <w:rPr>
          <w:i/>
          <w:lang w:val="en-US"/>
        </w:rPr>
        <w:t>neutroRegion</w:t>
      </w:r>
      <w:r>
        <w:rPr>
          <w:lang w:val="en-US"/>
        </w:rPr>
        <w:t xml:space="preserve"> or </w:t>
      </w:r>
      <w:r>
        <w:rPr>
          <w:i/>
          <w:lang w:val="en-US"/>
        </w:rPr>
        <w:t>thermalMechanicalRegion</w:t>
      </w:r>
      <w:r>
        <w:rPr>
          <w:lang w:val="en-US"/>
        </w:rPr>
        <w:t>.</w:t>
      </w:r>
    </w:p>
    <w:p>
      <w:pPr>
        <w:pStyle w:val="Normal"/>
        <w:rPr>
          <w:lang w:val="en-US"/>
        </w:rPr>
      </w:pPr>
      <w:r>
        <w:rPr>
          <w:lang w:val="en-US"/>
        </w:rPr>
        <w:t>N.B.:  all meshes must be decomposed in the same number of domains.</w:t>
      </w:r>
    </w:p>
    <w:p>
      <w:pPr>
        <w:pStyle w:val="Heading1"/>
        <w:rPr>
          <w:lang w:val="en-US"/>
        </w:rPr>
      </w:pPr>
      <w:r>
        <w:rPr>
          <w:lang w:val="en-US"/>
        </w:rPr>
        <w:t>Postprocessing</w:t>
      </w:r>
    </w:p>
    <w:p>
      <w:pPr>
        <w:pStyle w:val="Normal"/>
        <w:rPr>
          <w:lang w:val="en-US"/>
        </w:rPr>
      </w:pPr>
      <w:r>
        <w:rPr>
          <w:lang w:val="en-US"/>
        </w:rPr>
        <w:t>Postprocessing can be performed with Paraview, the standard postprocessing tool used with OpenFOAM.  Paraview is launched using the command line:</w:t>
      </w:r>
    </w:p>
    <w:p>
      <w:pPr>
        <w:pStyle w:val="Normal"/>
        <w:ind w:left="0" w:right="0" w:firstLine="708"/>
        <w:rPr>
          <w:i/>
          <w:i/>
          <w:lang w:val="en-US"/>
        </w:rPr>
      </w:pPr>
      <w:r>
        <w:rPr>
          <w:i/>
          <w:lang w:val="en-US"/>
        </w:rPr>
        <w:t>paraFoam –region (region name)</w:t>
      </w:r>
    </w:p>
    <w:p>
      <w:pPr>
        <w:pStyle w:val="Normal"/>
        <w:rPr/>
      </w:pPr>
      <w:r>
        <w:rPr>
          <w:lang w:val="en-US"/>
        </w:rPr>
        <w:t xml:space="preserve">where the region name is </w:t>
      </w:r>
      <w:r>
        <w:rPr>
          <w:i w:val="false"/>
          <w:iCs w:val="false"/>
          <w:lang w:val="en-US"/>
        </w:rPr>
        <w:t>fluidRegion</w:t>
      </w:r>
      <w:r>
        <w:rPr>
          <w:lang w:val="en-US"/>
        </w:rPr>
        <w:t>, neutroRegion or thermalMechanicalRegion.</w:t>
      </w:r>
    </w:p>
    <w:p>
      <w:pPr>
        <w:pStyle w:val="Normal"/>
        <w:rPr/>
      </w:pPr>
      <w:r>
        <w:rPr>
          <w:lang w:val="en-US"/>
        </w:rPr>
        <w:t>GeN-Foam also creates in the case folder  the .dat following files: flux (average flux</w:t>
      </w:r>
      <w:bookmarkStart w:id="1" w:name="_GoBack"/>
      <w:bookmarkEnd w:id="1"/>
      <w:r>
        <w:rPr>
          <w:lang w:val="en-US"/>
        </w:rPr>
        <w:t>), power, precs (total precursors), Tav (average coolant temperature in the core), TavClad (average clad temperature in the core), TavFuel (average fuel temperature in the core), Tmax (max coolant temperature in the core), TMaxClad (max clad temperature in the core), TMaxFuel  (max fuel temperature in the core), Tmin (min coolant temperature in the core), totalDisplacedCellsVolume (volume of the core)</w:t>
      </w:r>
    </w:p>
    <w:p>
      <w:pPr>
        <w:pStyle w:val="Heading1"/>
        <w:rPr>
          <w:lang w:val="en-US"/>
        </w:rPr>
      </w:pPr>
      <w:r>
        <w:rPr>
          <w:lang w:val="en-US"/>
        </w:rPr>
        <w:t>References</w:t>
      </w:r>
    </w:p>
    <w:p>
      <w:pPr>
        <w:pStyle w:val="ListParagraph"/>
        <w:numPr>
          <w:ilvl w:val="0"/>
          <w:numId w:val="2"/>
        </w:numPr>
        <w:rPr>
          <w:lang w:val="en-US"/>
        </w:rPr>
      </w:pPr>
      <w:r>
        <w:rPr>
          <w:lang w:val="en-US"/>
        </w:rPr>
        <w:t>Weller, H.G., Tabor, G., Jasak, H., Fureby, C., 1998. A Tensorial Approach to Computational Continuum Mechanics Using Object-Oriented Techniques. Computers in Physics 12, 620-631.</w:t>
      </w:r>
    </w:p>
    <w:p>
      <w:pPr>
        <w:pStyle w:val="ListParagraph"/>
        <w:numPr>
          <w:ilvl w:val="0"/>
          <w:numId w:val="2"/>
        </w:numPr>
        <w:rPr/>
      </w:pPr>
      <w:r>
        <w:rPr>
          <w:lang w:val="fr-FR"/>
        </w:rPr>
        <w:t xml:space="preserve">Fiorini, G.L., Vasile A., 2011. </w:t>
      </w:r>
      <w:r>
        <w:rPr>
          <w:lang w:val="en-US"/>
        </w:rPr>
        <w:t>European Commission - 7th Framework Program, “The Collaborative Project on European Sodium Fast Reactor (CP-ESFR)”. Nuclear Engineering and Design 241, 3461-3469.</w:t>
      </w:r>
    </w:p>
    <w:p>
      <w:pPr>
        <w:pStyle w:val="ListParagraph"/>
        <w:numPr>
          <w:ilvl w:val="0"/>
          <w:numId w:val="2"/>
        </w:numPr>
        <w:rPr/>
      </w:pPr>
      <w:r>
        <w:rPr>
          <w:lang w:val="fr-FR"/>
        </w:rPr>
        <w:t xml:space="preserve">Geuzaine, C., Remacle, J.-F., 2009. </w:t>
      </w:r>
      <w:r>
        <w:rPr>
          <w:lang w:val="en-US"/>
        </w:rPr>
        <w:t>Gmsh: a three-dimensional finite element mesh generator with built-in pre- and post-processing facilities. International Journal for Numerical Methods in Engineering 79, 1309-1331.</w:t>
      </w:r>
    </w:p>
    <w:p>
      <w:pPr>
        <w:pStyle w:val="Normal"/>
        <w:rPr>
          <w:lang w:val="en-US"/>
        </w:rPr>
      </w:pPr>
      <w:r>
        <w:rPr>
          <w:lang w:val="en-US"/>
        </w:rPr>
      </w:r>
    </w:p>
    <w:p>
      <w:pPr>
        <w:pStyle w:val="Normal"/>
        <w:spacing w:before="0" w:after="200"/>
        <w:rPr/>
      </w:pPr>
      <w:r>
        <w:rPr/>
      </w:r>
    </w:p>
    <w:sectPr>
      <w:type w:val="nextPage"/>
      <w:pgSz w:w="11906" w:h="16838"/>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Cs w:val="22"/>
        <w:lang w:val="de-CH" w:eastAsia="en-US" w:bidi="ar-SA"/>
      </w:rPr>
    </w:rPrDefault>
    <w:pPrDefault>
      <w:pPr/>
    </w:pPrDefault>
  </w:docDefaults>
  <w:style w:type="paragraph" w:styleId="Normal">
    <w:name w:val="Normal"/>
    <w:qFormat/>
    <w:pPr>
      <w:widowControl/>
      <w:kinsoku w:val="true"/>
      <w:overflowPunct w:val="true"/>
      <w:autoSpaceDE w:val="true"/>
      <w:bidi w:val="0"/>
      <w:spacing w:lineRule="auto" w:line="276" w:before="0" w:after="200"/>
      <w:jc w:val="left"/>
    </w:pPr>
    <w:rPr>
      <w:rFonts w:ascii="Calibri" w:hAnsi="Calibri" w:eastAsia="Calibri" w:cs="DejaVu Sans"/>
      <w:color w:val="00000A"/>
      <w:sz w:val="22"/>
      <w:szCs w:val="22"/>
      <w:lang w:val="de-CH" w:eastAsia="en-US" w:bidi="ar-SA"/>
    </w:rPr>
  </w:style>
  <w:style w:type="paragraph" w:styleId="Heading1">
    <w:name w:val="Heading 1"/>
    <w:basedOn w:val="Normal"/>
    <w:next w:val="Normal"/>
    <w:qFormat/>
    <w:pPr>
      <w:keepNext/>
      <w:keepLines/>
      <w:numPr>
        <w:ilvl w:val="0"/>
        <w:numId w:val="0"/>
      </w:numPr>
      <w:spacing w:before="480" w:after="0"/>
      <w:outlineLvl w:val="0"/>
    </w:pPr>
    <w:rPr>
      <w:rFonts w:ascii="Cambria" w:hAnsi="Cambria" w:eastAsia="宋体" w:cs="DejaVu Sans"/>
      <w:b/>
      <w:bCs/>
      <w:color w:val="365F91"/>
      <w:sz w:val="28"/>
      <w:szCs w:val="28"/>
    </w:rPr>
  </w:style>
  <w:style w:type="paragraph" w:styleId="Heading2">
    <w:name w:val="Heading 2"/>
    <w:basedOn w:val="Normal"/>
    <w:next w:val="Normal"/>
    <w:qFormat/>
    <w:pPr>
      <w:keepNext/>
      <w:keepLines/>
      <w:numPr>
        <w:ilvl w:val="0"/>
        <w:numId w:val="0"/>
      </w:numPr>
      <w:spacing w:before="200" w:after="0"/>
      <w:outlineLvl w:val="1"/>
    </w:pPr>
    <w:rPr>
      <w:rFonts w:ascii="Cambria" w:hAnsi="Cambria" w:eastAsia="宋体" w:cs="DejaVu Sans"/>
      <w:b/>
      <w:bCs/>
      <w:color w:val="4F81BD"/>
      <w:sz w:val="26"/>
      <w:szCs w:val="26"/>
    </w:rPr>
  </w:style>
  <w:style w:type="paragraph" w:styleId="Heading3">
    <w:name w:val="Heading 3"/>
    <w:basedOn w:val="Normal"/>
    <w:next w:val="Normal"/>
    <w:qFormat/>
    <w:pPr>
      <w:keepNext/>
      <w:keepLines/>
      <w:numPr>
        <w:ilvl w:val="0"/>
        <w:numId w:val="0"/>
      </w:numPr>
      <w:spacing w:before="200" w:after="0"/>
      <w:outlineLvl w:val="2"/>
    </w:pPr>
    <w:rPr>
      <w:rFonts w:ascii="Cambria" w:hAnsi="Cambria" w:eastAsia="宋体" w:cs="DejaVu Sans"/>
      <w:b/>
      <w:bCs/>
      <w:color w:val="4F81BD"/>
    </w:rPr>
  </w:style>
  <w:style w:type="character" w:styleId="DefaultParagraphFont">
    <w:name w:val="Default Paragraph Font"/>
    <w:qFormat/>
    <w:rPr/>
  </w:style>
  <w:style w:type="character" w:styleId="InternetLink">
    <w:name w:val="Internet Link"/>
    <w:basedOn w:val="DefaultParagraphFont"/>
    <w:rPr>
      <w:color w:val="0000FF"/>
      <w:u w:val="single"/>
    </w:rPr>
  </w:style>
  <w:style w:type="character" w:styleId="Heading1Char">
    <w:name w:val="Heading 1 Char"/>
    <w:basedOn w:val="DefaultParagraphFont"/>
    <w:qFormat/>
    <w:rPr>
      <w:rFonts w:ascii="Cambria" w:hAnsi="Cambria" w:eastAsia="宋体" w:cs="DejaVu Sans"/>
      <w:b/>
      <w:bCs/>
      <w:color w:val="365F91"/>
      <w:sz w:val="28"/>
      <w:szCs w:val="28"/>
    </w:rPr>
  </w:style>
  <w:style w:type="character" w:styleId="Heading2Char">
    <w:name w:val="Heading 2 Char"/>
    <w:basedOn w:val="DefaultParagraphFont"/>
    <w:qFormat/>
    <w:rPr>
      <w:rFonts w:ascii="Cambria" w:hAnsi="Cambria" w:eastAsia="宋体" w:cs="DejaVu Sans"/>
      <w:b/>
      <w:bCs/>
      <w:color w:val="4F81BD"/>
      <w:sz w:val="26"/>
      <w:szCs w:val="26"/>
    </w:rPr>
  </w:style>
  <w:style w:type="character" w:styleId="Heading3Char">
    <w:name w:val="Heading 3 Char"/>
    <w:basedOn w:val="DefaultParagraphFont"/>
    <w:qFormat/>
    <w:rPr>
      <w:rFonts w:ascii="Cambria" w:hAnsi="Cambria" w:eastAsia="宋体" w:cs="DejaVu Sans"/>
      <w:b/>
      <w:bCs/>
      <w:color w:val="4F81BD"/>
    </w:rPr>
  </w:style>
  <w:style w:type="character" w:styleId="TitleChar">
    <w:name w:val="Title Char"/>
    <w:basedOn w:val="DefaultParagraphFont"/>
    <w:qFormat/>
    <w:rPr>
      <w:rFonts w:ascii="Cambria" w:hAnsi="Cambria" w:eastAsia="宋体" w:cs="DejaVu Sans"/>
      <w:color w:val="17365D"/>
      <w:spacing w:val="5"/>
      <w:sz w:val="52"/>
      <w:szCs w:val="52"/>
    </w:rPr>
  </w:style>
  <w:style w:type="character" w:styleId="BodyTextIndentChar">
    <w:name w:val="Body Text Indent Char"/>
    <w:basedOn w:val="DefaultParagraphFont"/>
    <w:qFormat/>
    <w:rPr>
      <w:rFonts w:ascii="Times New Roman" w:hAnsi="Times New Roman" w:eastAsia="Times New Roman" w:cs="Times New Roman"/>
      <w:sz w:val="20"/>
      <w:szCs w:val="20"/>
      <w:lang w:val="en-US"/>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200"/>
      <w:ind w:left="720" w:right="0" w:hanging="0"/>
      <w:contextualSpacing/>
    </w:pPr>
    <w:rPr/>
  </w:style>
  <w:style w:type="paragraph" w:styleId="Title">
    <w:name w:val="Title"/>
    <w:basedOn w:val="Normal"/>
    <w:next w:val="Normal"/>
    <w:qFormat/>
    <w:pPr>
      <w:pBdr>
        <w:bottom w:val="single" w:sz="8" w:space="4" w:color="4F81BD"/>
      </w:pBdr>
      <w:spacing w:lineRule="auto" w:line="240" w:before="0" w:after="300"/>
      <w:contextualSpacing/>
    </w:pPr>
    <w:rPr>
      <w:rFonts w:ascii="Cambria" w:hAnsi="Cambria" w:eastAsia="宋体" w:cs="DejaVu Sans"/>
      <w:color w:val="17365D"/>
      <w:spacing w:val="5"/>
      <w:sz w:val="52"/>
      <w:szCs w:val="52"/>
    </w:rPr>
  </w:style>
  <w:style w:type="paragraph" w:styleId="TextBodyIndent">
    <w:name w:val="Body Text Indent"/>
    <w:basedOn w:val="Normal"/>
    <w:pPr>
      <w:suppressAutoHyphens w:val="true"/>
      <w:spacing w:lineRule="auto" w:line="240" w:before="0" w:after="0"/>
      <w:ind w:left="0" w:right="0" w:firstLine="360"/>
      <w:jc w:val="both"/>
    </w:pPr>
    <w:rPr>
      <w:rFonts w:ascii="Times New Roman" w:hAnsi="Times New Roman" w:eastAsia="Times New Roman" w:cs="Times New Roman"/>
      <w:sz w:val="20"/>
      <w:szCs w:val="20"/>
      <w:lang w:val="en-U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euz.org/gmsh/"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47C048BD.dotm</Template>
  <TotalTime>9859</TotalTime>
  <Application>LibreOffice/5.1.6.2$Linux_X86_64 LibreOffice_project/10m0$Build-2</Application>
  <Pages>4</Pages>
  <Words>1108</Words>
  <Characters>6730</Characters>
  <CharactersWithSpaces>7804</CharactersWithSpaces>
  <Paragraphs>52</Paragraphs>
  <Company>PSI - Paul Scherrer Institut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2015-01-14T12:50:00Z</dcterms:created>
  <dc:creator>Fiorina Carlo</dc:creator>
  <dc:description/>
  <dc:language>en-US</dc:language>
  <cp:lastModifiedBy/>
  <dcterms:modified xsi:type="dcterms:W3CDTF">2017-04-28T10:57:28Z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PSI - Paul Scherrer Institut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