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jc w:val="both"/>
        <w:rPr>
          <w:lang w:val="en-US"/>
        </w:rPr>
      </w:pPr>
      <w:r>
        <w:rPr>
          <w:rFonts w:ascii="TeXGyreTermes" w:hAnsi="TeXGyreTermes"/>
          <w:lang w:val="en-US"/>
        </w:rPr>
        <w:t>GeN-Foam: howTo</w:t>
      </w:r>
    </w:p>
    <w:p>
      <w:pPr>
        <w:pStyle w:val="Normal"/>
        <w:jc w:val="both"/>
        <w:rPr>
          <w:rFonts w:ascii="TeXGyreTermes" w:hAnsi="TeXGyreTermes"/>
        </w:rPr>
      </w:pPr>
      <w:r>
        <w:rPr>
          <w:rFonts w:ascii="TeXGyreTermes" w:hAnsi="TeXGyreTermes"/>
        </w:rPr>
        <w:t xml:space="preserve">GeN-Foam is a multi-physics solver for reactor analysis based on OpenFOAM </w:t>
      </w:r>
      <w:r>
        <w:rPr>
          <w:rFonts w:ascii="TeXGyreTermes" w:hAnsi="TeXGyreTermes"/>
          <w:lang w:val="en-US"/>
        </w:rPr>
        <w:t>[1,</w:t>
      </w:r>
      <w:r>
        <w:rPr>
          <w:rFonts w:ascii="TeXGyreTermes" w:hAnsi="TeXGyreTermes"/>
          <w:lang w:val="en-US"/>
        </w:rPr>
        <w:t>2</w:t>
      </w:r>
      <w:r>
        <w:rPr>
          <w:rFonts w:ascii="TeXGyreTermes" w:hAnsi="TeXGyreTermes"/>
          <w:lang w:val="en-US"/>
        </w:rPr>
        <w:t xml:space="preserve">]. It solves for neutronics (diffusion, SP3, SN), thermal-hydraulics (RANS-CFD and/or porous-medium coarse mesh), and thermal-mechanics. A different mesh is employed for each physics. A 1-D sub-scale model is also employed for calculating fuel temperatures in coarse-mesh models of a core.  </w:t>
      </w:r>
      <w:r>
        <w:rPr>
          <w:rFonts w:ascii="TeXGyreTermes" w:hAnsi="TeXGyreTermes"/>
          <w:lang w:val="en-US"/>
        </w:rPr>
        <w:t xml:space="preserve">It should be mentioned that GeN-Foam was mainly designed for coarse-mesh analyses of a reactor core (with porous medium approach and sub-scale representation of fuel), and not for detailed pin-by-pin models. </w:t>
      </w:r>
    </w:p>
    <w:p>
      <w:pPr>
        <w:pStyle w:val="Normal"/>
        <w:jc w:val="both"/>
        <w:rPr>
          <w:rFonts w:ascii="TeXGyreTermes" w:hAnsi="TeXGyreTermes"/>
        </w:rPr>
      </w:pPr>
      <w:r>
        <w:rPr>
          <w:rFonts w:ascii="TeXGyreTermes" w:hAnsi="TeXGyreTermes"/>
          <w:lang w:val="en-US"/>
        </w:rPr>
        <w:t xml:space="preserve">Using GeN-Foam requires a </w:t>
      </w:r>
      <w:r>
        <w:rPr>
          <w:rFonts w:ascii="TeXGyreTermes" w:hAnsi="TeXGyreTermes"/>
          <w:lang w:val="en-US"/>
        </w:rPr>
        <w:t>good</w:t>
      </w:r>
      <w:r>
        <w:rPr>
          <w:rFonts w:ascii="TeXGyreTermes" w:hAnsi="TeXGyreTermes"/>
          <w:lang w:val="en-US"/>
        </w:rPr>
        <w:t xml:space="preserve"> knowledge of OpenFOAM. </w:t>
      </w:r>
      <w:r>
        <w:rPr>
          <w:rFonts w:ascii="TeXGyreTermes" w:hAnsi="TeXGyreTermes"/>
          <w:lang w:val="en-US"/>
        </w:rPr>
        <w:t>In order to use GeN-Foam, one should at least be familiar with the OpenFOAM user guide [3], and have run and understood the related tutorials. This gives an introduction to the overall logic of OpenFOAM, and to its simplest solvers. More specialized OpenFOAM solvers are normally not provided with a user guide and users are expected to learn how to use them based on:</w:t>
      </w:r>
    </w:p>
    <w:p>
      <w:pPr>
        <w:pStyle w:val="Normal"/>
        <w:numPr>
          <w:ilvl w:val="0"/>
          <w:numId w:val="4"/>
        </w:numPr>
        <w:jc w:val="both"/>
        <w:rPr>
          <w:rFonts w:ascii="TeXGyreTermes" w:hAnsi="TeXGyreTermes"/>
        </w:rPr>
      </w:pPr>
      <w:r>
        <w:rPr>
          <w:rFonts w:ascii="TeXGyreTermes" w:hAnsi="TeXGyreTermes"/>
          <w:lang w:val="en-US"/>
        </w:rPr>
        <w:t>the above-mentioned user guide and basic tutorials;</w:t>
      </w:r>
    </w:p>
    <w:p>
      <w:pPr>
        <w:pStyle w:val="Normal"/>
        <w:numPr>
          <w:ilvl w:val="0"/>
          <w:numId w:val="4"/>
        </w:numPr>
        <w:jc w:val="both"/>
        <w:rPr>
          <w:rFonts w:ascii="TeXGyreTermes" w:hAnsi="TeXGyreTermes"/>
        </w:rPr>
      </w:pPr>
      <w:r>
        <w:rPr>
          <w:rFonts w:ascii="TeXGyreTermes" w:hAnsi="TeXGyreTermes"/>
          <w:lang w:val="en-US"/>
        </w:rPr>
        <w:t>a sound knowledge of their field;</w:t>
      </w:r>
    </w:p>
    <w:p>
      <w:pPr>
        <w:pStyle w:val="Normal"/>
        <w:numPr>
          <w:ilvl w:val="0"/>
          <w:numId w:val="4"/>
        </w:numPr>
        <w:jc w:val="both"/>
        <w:rPr>
          <w:rFonts w:ascii="TeXGyreTermes" w:hAnsi="TeXGyreTermes"/>
        </w:rPr>
      </w:pPr>
      <w:r>
        <w:rPr>
          <w:rFonts w:ascii="TeXGyreTermes" w:hAnsi="TeXGyreTermes"/>
          <w:lang w:val="en-US"/>
        </w:rPr>
        <w:t>the presence of a tutorial;</w:t>
      </w:r>
    </w:p>
    <w:p>
      <w:pPr>
        <w:pStyle w:val="Normal"/>
        <w:numPr>
          <w:ilvl w:val="0"/>
          <w:numId w:val="4"/>
        </w:numPr>
        <w:jc w:val="both"/>
        <w:rPr>
          <w:rFonts w:ascii="TeXGyreTermes" w:hAnsi="TeXGyreTermes"/>
        </w:rPr>
      </w:pPr>
      <w:r>
        <w:rPr>
          <w:rFonts w:ascii="TeXGyreTermes" w:hAnsi="TeXGyreTermes"/>
          <w:lang w:val="en-US"/>
        </w:rPr>
        <w:t xml:space="preserve">the high-level C++-based object-oriented language of OpenFOAM, which normally allows to easily understand the behavior of </w:t>
      </w:r>
      <w:r>
        <w:rPr>
          <w:rFonts w:ascii="TeXGyreTermes" w:hAnsi="TeXGyreTermes"/>
          <w:lang w:val="en-US"/>
        </w:rPr>
        <w:t>a</w:t>
      </w:r>
      <w:r>
        <w:rPr>
          <w:rFonts w:ascii="TeXGyreTermes" w:hAnsi="TeXGyreTermes"/>
          <w:lang w:val="en-US"/>
        </w:rPr>
        <w:t xml:space="preserve"> solver;</w:t>
      </w:r>
    </w:p>
    <w:p>
      <w:pPr>
        <w:pStyle w:val="Normal"/>
        <w:numPr>
          <w:ilvl w:val="0"/>
          <w:numId w:val="4"/>
        </w:numPr>
        <w:jc w:val="both"/>
        <w:rPr>
          <w:rFonts w:ascii="TeXGyreTermes" w:hAnsi="TeXGyreTermes"/>
        </w:rPr>
      </w:pPr>
      <w:r>
        <w:rPr>
          <w:rFonts w:ascii="TeXGyreTermes" w:hAnsi="TeXGyreTermes"/>
          <w:lang w:val="en-US"/>
        </w:rPr>
        <w:t xml:space="preserve">the support of the community. </w:t>
      </w:r>
    </w:p>
    <w:p>
      <w:pPr>
        <w:pStyle w:val="Normal"/>
        <w:jc w:val="both"/>
        <w:rPr>
          <w:rFonts w:ascii="TeXGyreTermes" w:hAnsi="TeXGyreTermes"/>
        </w:rPr>
      </w:pPr>
      <w:r>
        <w:rPr>
          <w:rFonts w:ascii="TeXGyreTermes" w:hAnsi="TeXGyreTermes"/>
          <w:lang w:val="en-US"/>
        </w:rPr>
        <w:t xml:space="preserve">However, GeN-Foam is an unusually complex OpenFOAM solver. </w:t>
      </w:r>
      <w:r>
        <w:rPr>
          <w:rFonts w:ascii="TeXGyreTermes" w:hAnsi="TeXGyreTermes"/>
          <w:lang w:val="en-US"/>
        </w:rPr>
        <w:t>T</w:t>
      </w:r>
      <w:r>
        <w:rPr>
          <w:rFonts w:ascii="TeXGyreTermes" w:hAnsi="TeXGyreTermes"/>
          <w:lang w:val="en-US"/>
        </w:rPr>
        <w:t xml:space="preserve">his document has </w:t>
      </w:r>
      <w:r>
        <w:rPr>
          <w:rFonts w:ascii="TeXGyreTermes" w:hAnsi="TeXGyreTermes"/>
          <w:lang w:val="en-US"/>
        </w:rPr>
        <w:t>then</w:t>
      </w:r>
      <w:r>
        <w:rPr>
          <w:rFonts w:ascii="TeXGyreTermes" w:hAnsi="TeXGyreTermes"/>
          <w:lang w:val="en-US"/>
        </w:rPr>
        <w:t xml:space="preserve"> been written </w:t>
      </w:r>
      <w:r>
        <w:rPr>
          <w:rFonts w:ascii="TeXGyreTermes" w:hAnsi="TeXGyreTermes"/>
          <w:lang w:val="en-US"/>
        </w:rPr>
        <w:t xml:space="preserve">to </w:t>
      </w:r>
      <w:r>
        <w:rPr>
          <w:rFonts w:ascii="TeXGyreTermes" w:hAnsi="TeXGyreTermes"/>
          <w:lang w:val="en-US"/>
        </w:rPr>
        <w:t>facilitat</w:t>
      </w:r>
      <w:r>
        <w:rPr>
          <w:rFonts w:ascii="TeXGyreTermes" w:hAnsi="TeXGyreTermes"/>
          <w:lang w:val="en-US"/>
        </w:rPr>
        <w:t>e</w:t>
      </w:r>
      <w:r>
        <w:rPr>
          <w:rFonts w:ascii="TeXGyreTermes" w:hAnsi="TeXGyreTermes"/>
          <w:lang w:val="en-US"/>
        </w:rPr>
        <w:t xml:space="preserve"> its use. In addition, </w:t>
      </w:r>
      <w:r>
        <w:rPr>
          <w:rFonts w:ascii="TeXGyreTermes" w:hAnsi="TeXGyreTermes"/>
          <w:lang w:val="en-US"/>
        </w:rPr>
        <w:t>thee</w:t>
      </w:r>
      <w:r>
        <w:rPr>
          <w:rFonts w:ascii="TeXGyreTermes" w:hAnsi="TeXGyreTermes"/>
          <w:lang w:val="en-US"/>
        </w:rPr>
        <w:t xml:space="preserve"> tutorial</w:t>
      </w:r>
      <w:r>
        <w:rPr>
          <w:rFonts w:ascii="TeXGyreTermes" w:hAnsi="TeXGyreTermes"/>
          <w:lang w:val="en-US"/>
        </w:rPr>
        <w:t>s</w:t>
      </w:r>
      <w:r>
        <w:rPr>
          <w:rFonts w:ascii="TeXGyreTermes" w:hAnsi="TeXGyreTermes"/>
          <w:lang w:val="en-US"/>
        </w:rPr>
        <w:t xml:space="preserve"> (ESFR3D_small, </w:t>
      </w:r>
      <w:r>
        <w:rPr>
          <w:rFonts w:ascii="TeXGyreTermes" w:hAnsi="TeXGyreTermes"/>
          <w:lang w:val="en-US"/>
        </w:rPr>
        <w:t xml:space="preserve">ESFR2D_regression, and godiva_SN </w:t>
      </w:r>
      <w:r>
        <w:rPr>
          <w:rFonts w:ascii="TeXGyreTermes" w:hAnsi="TeXGyreTermes"/>
          <w:lang w:val="en-US"/>
        </w:rPr>
        <w:t>) ha</w:t>
      </w:r>
      <w:r>
        <w:rPr>
          <w:rFonts w:ascii="TeXGyreTermes" w:hAnsi="TeXGyreTermes"/>
          <w:lang w:val="en-US"/>
        </w:rPr>
        <w:t>ve</w:t>
      </w:r>
      <w:r>
        <w:rPr>
          <w:rFonts w:ascii="TeXGyreTermes" w:hAnsi="TeXGyreTermes"/>
          <w:lang w:val="en-US"/>
        </w:rPr>
        <w:t xml:space="preserve"> been prepared.  An EMPTY case is also provided that can be used for step-by-step building one’s own case. It is recommended to start from the EMPTY case to build a case, as it already includes a consistent minimum set of (dummy) files that have to be present independent of the physics that are solved for.</w:t>
      </w:r>
    </w:p>
    <w:p>
      <w:pPr>
        <w:pStyle w:val="Heading1"/>
        <w:jc w:val="both"/>
        <w:rPr>
          <w:rFonts w:ascii="TeXGyreTermes" w:hAnsi="TeXGyreTermes"/>
        </w:rPr>
      </w:pPr>
      <w:r>
        <w:rPr>
          <w:rFonts w:ascii="TeXGyreTermes" w:hAnsi="TeXGyreTermes"/>
          <w:lang w:val="en-US"/>
        </w:rPr>
        <w:t>Theoretical background</w:t>
      </w:r>
      <w:r>
        <w:rPr>
          <w:rFonts w:ascii="TeXGyreTermes" w:hAnsi="TeXGyreTermes"/>
          <w:lang w:val="en-US"/>
        </w:rPr>
        <w:t xml:space="preserve"> </w:t>
      </w:r>
    </w:p>
    <w:p>
      <w:pPr>
        <w:pStyle w:val="Normal"/>
        <w:jc w:val="both"/>
        <w:rPr>
          <w:rFonts w:ascii="TeXGyreTermes" w:hAnsi="TeXGyreTermes"/>
          <w:color w:val="00000A"/>
          <w:sz w:val="22"/>
          <w:lang w:val="en-US"/>
        </w:rPr>
      </w:pPr>
      <w:r>
        <w:rPr>
          <w:rFonts w:ascii="TeXGyreTermes" w:hAnsi="TeXGyreTermes"/>
          <w:color w:val="00000A"/>
          <w:sz w:val="22"/>
          <w:lang w:val="en-US"/>
        </w:rPr>
        <w:t xml:space="preserve">A general theoretical presentation of GeN-Foam is provided in </w:t>
      </w:r>
      <w:r>
        <w:rPr>
          <w:rFonts w:ascii="TeXGyreTermes" w:hAnsi="TeXGyreTermes"/>
          <w:color w:val="00000A"/>
          <w:sz w:val="22"/>
          <w:lang w:val="en-US"/>
        </w:rPr>
        <w:t>Ref.</w:t>
      </w:r>
      <w:r>
        <w:rPr>
          <w:rFonts w:ascii="TeXGyreTermes" w:hAnsi="TeXGyreTermes"/>
          <w:color w:val="00000A"/>
          <w:sz w:val="22"/>
          <w:lang w:val="en-US"/>
        </w:rPr>
        <w:t xml:space="preserve"> [4]. </w:t>
      </w:r>
      <w:r>
        <w:rPr>
          <w:rFonts w:ascii="TeXGyreTermes" w:hAnsi="TeXGyreTermes"/>
          <w:color w:val="00000A"/>
          <w:sz w:val="22"/>
          <w:lang w:val="en-US"/>
        </w:rPr>
        <w:t xml:space="preserve">It is recommended to go through this paper before starting to use GeN-Foam. Further information can be found in Ref. [5] for the diffusion solver, Ref. [6] for the SP3 solver, Refs. [7,8] for the thermal-mechanic solver and its use for mesh deformation, Ref. [8] for the SN solver. </w:t>
      </w:r>
    </w:p>
    <w:p>
      <w:pPr>
        <w:pStyle w:val="Heading1"/>
        <w:jc w:val="both"/>
        <w:rPr>
          <w:rFonts w:ascii="TeXGyreTermes" w:hAnsi="TeXGyreTermes"/>
        </w:rPr>
      </w:pPr>
      <w:r>
        <w:rPr>
          <w:rFonts w:ascii="TeXGyreTermes" w:hAnsi="TeXGyreTermes"/>
          <w:lang w:val="en-US"/>
        </w:rPr>
        <w:t xml:space="preserve">Source code </w:t>
      </w:r>
      <w:r>
        <w:rPr>
          <w:rFonts w:ascii="TeXGyreTermes" w:hAnsi="TeXGyreTermes"/>
          <w:lang w:val="en-US"/>
        </w:rPr>
        <w:t xml:space="preserve"> </w:t>
      </w:r>
    </w:p>
    <w:p>
      <w:pPr>
        <w:pStyle w:val="Normal"/>
        <w:jc w:val="both"/>
        <w:rPr>
          <w:rFonts w:ascii="TeXGyreTermes" w:hAnsi="TeXGyreTermes"/>
        </w:rPr>
      </w:pPr>
      <w:r>
        <w:rPr>
          <w:rFonts w:ascii="TeXGyreTermes" w:hAnsi="TeXGyreTermes"/>
          <w:lang w:val="en-US"/>
        </w:rPr>
        <w:t>The source code is subdivided into 3 main folder:</w:t>
      </w:r>
    </w:p>
    <w:p>
      <w:pPr>
        <w:pStyle w:val="Normal"/>
        <w:numPr>
          <w:ilvl w:val="0"/>
          <w:numId w:val="5"/>
        </w:numPr>
        <w:jc w:val="both"/>
        <w:rPr>
          <w:rFonts w:ascii="TeXGyreTermes" w:hAnsi="TeXGyreTermes"/>
        </w:rPr>
      </w:pPr>
      <w:r>
        <w:rPr>
          <w:rFonts w:ascii="TeXGyreTermes" w:hAnsi="TeXGyreTermes"/>
          <w:i/>
          <w:iCs/>
          <w:lang w:val="en-US"/>
        </w:rPr>
        <w:t>main</w:t>
      </w:r>
      <w:r>
        <w:rPr>
          <w:rFonts w:ascii="TeXGyreTermes" w:hAnsi="TeXGyreTermes"/>
          <w:lang w:val="en-US"/>
        </w:rPr>
        <w:t xml:space="preserve">: containing the main  </w:t>
      </w:r>
      <w:r>
        <w:rPr>
          <w:rFonts w:ascii="TeXGyreTermes" w:hAnsi="TeXGyreTermes"/>
          <w:lang w:val="en-US"/>
        </w:rPr>
        <w:t xml:space="preserve">GeN-Foam.C </w:t>
      </w:r>
      <w:r>
        <w:rPr>
          <w:rFonts w:ascii="TeXGyreTermes" w:hAnsi="TeXGyreTermes"/>
          <w:lang w:val="en-US"/>
        </w:rPr>
        <w:t>source file, and the solver for thermal-hydraulics (derived from buoyantPimpleFoam);</w:t>
      </w:r>
    </w:p>
    <w:p>
      <w:pPr>
        <w:pStyle w:val="Normal"/>
        <w:numPr>
          <w:ilvl w:val="0"/>
          <w:numId w:val="5"/>
        </w:numPr>
        <w:jc w:val="both"/>
        <w:rPr>
          <w:rFonts w:ascii="TeXGyreTermes" w:hAnsi="TeXGyreTermes"/>
        </w:rPr>
      </w:pPr>
      <w:r>
        <w:rPr>
          <w:rFonts w:ascii="TeXGyreTermes" w:hAnsi="TeXGyreTermes"/>
          <w:i/>
          <w:iCs/>
          <w:lang w:val="en-US"/>
        </w:rPr>
        <w:t>classes</w:t>
      </w:r>
      <w:r>
        <w:rPr>
          <w:rFonts w:ascii="TeXGyreTermes" w:hAnsi="TeXGyreTermes"/>
          <w:lang w:val="en-US"/>
        </w:rPr>
        <w:t>: containing the 5 main classed employed to solve for the all the other physics;</w:t>
      </w:r>
    </w:p>
    <w:p>
      <w:pPr>
        <w:pStyle w:val="Normal"/>
        <w:numPr>
          <w:ilvl w:val="0"/>
          <w:numId w:val="5"/>
        </w:numPr>
        <w:jc w:val="both"/>
        <w:rPr>
          <w:rFonts w:ascii="TeXGyreTermes" w:hAnsi="TeXGyreTermes"/>
        </w:rPr>
      </w:pPr>
      <w:r>
        <w:rPr>
          <w:rFonts w:ascii="TeXGyreTermes" w:hAnsi="TeXGyreTermes"/>
          <w:i/>
          <w:iCs/>
          <w:lang w:val="en-US"/>
        </w:rPr>
        <w:t>include</w:t>
      </w:r>
      <w:r>
        <w:rPr>
          <w:rFonts w:ascii="TeXGyreTermes" w:hAnsi="TeXGyreTermes"/>
          <w:lang w:val="en-US"/>
        </w:rPr>
        <w:t>: containing specialized versions of some OpenFOAM base classes.</w:t>
      </w:r>
    </w:p>
    <w:p>
      <w:pPr>
        <w:pStyle w:val="Heading1"/>
        <w:jc w:val="both"/>
        <w:rPr>
          <w:rFonts w:ascii="TeXGyreTermes" w:hAnsi="TeXGyreTermes"/>
        </w:rPr>
      </w:pPr>
      <w:r>
        <w:rPr>
          <w:rFonts w:ascii="TeXGyreTermes" w:hAnsi="TeXGyreTermes"/>
          <w:lang w:val="en-US"/>
        </w:rPr>
        <w:t xml:space="preserve">Compiling </w:t>
      </w:r>
    </w:p>
    <w:p>
      <w:pPr>
        <w:pStyle w:val="Normal"/>
        <w:jc w:val="both"/>
        <w:rPr>
          <w:rFonts w:ascii="Arial" w:hAnsi="Arial" w:cs="Arial"/>
          <w:color w:val="000000"/>
          <w:sz w:val="18"/>
          <w:szCs w:val="18"/>
          <w:highlight w:val="white"/>
          <w:lang w:val="en-US"/>
        </w:rPr>
      </w:pPr>
      <w:r>
        <w:rPr>
          <w:rFonts w:ascii="TeXGyreTermes" w:hAnsi="TeXGyreTermes"/>
          <w:lang w:val="en-US"/>
        </w:rPr>
        <w:t>GeN-Foam is built as a standard OpenFOAM solver. As such, one should first install the latest OpenFOAM foundation version and then compile GeN-Fo</w:t>
      </w:r>
      <w:r>
        <w:rPr>
          <w:rFonts w:ascii="TeXGyreTermes" w:hAnsi="TeXGyreTermes"/>
          <w:sz w:val="22"/>
          <w:szCs w:val="22"/>
          <w:lang w:val="en-US"/>
        </w:rPr>
        <w:t xml:space="preserve">am </w:t>
      </w:r>
      <w:r>
        <w:rPr>
          <w:rFonts w:cs="Arial" w:ascii="TeXGyreTermes" w:hAnsi="TeXGyreTermes"/>
          <w:color w:val="000000"/>
          <w:sz w:val="22"/>
          <w:szCs w:val="22"/>
          <w:shd w:fill="FFFFFF" w:val="clear"/>
          <w:lang w:val="en-US"/>
        </w:rPr>
        <w:t>by typing in a terminal</w:t>
      </w:r>
    </w:p>
    <w:p>
      <w:pPr>
        <w:pStyle w:val="Normal"/>
        <w:ind w:left="567" w:hanging="0"/>
        <w:jc w:val="both"/>
        <w:rPr>
          <w:i/>
          <w:i/>
          <w:lang w:val="en-US"/>
        </w:rPr>
      </w:pPr>
      <w:r>
        <w:rPr>
          <w:rFonts w:ascii="TeXGyreTermes" w:hAnsi="TeXGyreTermes"/>
          <w:i/>
          <w:lang w:val="en-US"/>
        </w:rPr>
        <w:t xml:space="preserve">wmake </w:t>
      </w:r>
    </w:p>
    <w:p>
      <w:pPr>
        <w:pStyle w:val="Normal"/>
        <w:jc w:val="both"/>
        <w:rPr>
          <w:lang w:val="en-US"/>
        </w:rPr>
      </w:pPr>
      <w:r>
        <w:rPr>
          <w:rFonts w:ascii="TeXGyreTermes" w:hAnsi="TeXGyreTermes"/>
          <w:lang w:val="en-US"/>
        </w:rPr>
        <w:t>from the GeN-Foam source code folder.</w:t>
      </w:r>
    </w:p>
    <w:p>
      <w:pPr>
        <w:pStyle w:val="Heading1"/>
        <w:jc w:val="both"/>
        <w:rPr>
          <w:lang w:val="en-US"/>
        </w:rPr>
      </w:pPr>
      <w:r>
        <w:rPr>
          <w:rFonts w:ascii="TeXGyreTermes" w:hAnsi="TeXGyreTermes"/>
          <w:lang w:val="en-US"/>
        </w:rPr>
        <w:t>Preprocessing</w:t>
      </w:r>
    </w:p>
    <w:p>
      <w:pPr>
        <w:pStyle w:val="Normal"/>
        <w:jc w:val="both"/>
        <w:rPr>
          <w:lang w:val="en-US"/>
        </w:rPr>
      </w:pPr>
      <w:r>
        <w:rPr>
          <w:rFonts w:ascii="TeXGyreTermes" w:hAnsi="TeXGyreTermes"/>
          <w:lang w:val="en-US"/>
        </w:rPr>
        <w:t>Before running GeN-Foam, one is supposed to provide meshes, physical properties, discretization methods (if one does not want to use the default ones) and solution details.</w:t>
      </w:r>
    </w:p>
    <w:p>
      <w:pPr>
        <w:pStyle w:val="Normal"/>
        <w:jc w:val="both"/>
        <w:rPr>
          <w:lang w:val="en-US"/>
        </w:rPr>
      </w:pPr>
      <w:r>
        <w:rPr>
          <w:rFonts w:ascii="TeXGyreTermes" w:hAnsi="TeXGyreTermes"/>
          <w:lang w:val="en-US"/>
        </w:rPr>
        <w:t>N.B. A dummy mesh must always be present in all physics directories, even if not solved for. The EMPTY case is already provided with minimal dummy meshes and consistent fields in the “0” folder.</w:t>
      </w:r>
    </w:p>
    <w:p>
      <w:pPr>
        <w:pStyle w:val="Heading3"/>
        <w:jc w:val="both"/>
        <w:rPr>
          <w:lang w:val="en-US"/>
        </w:rPr>
      </w:pPr>
      <w:r>
        <w:rPr>
          <w:rFonts w:ascii="TeXGyreTermes" w:hAnsi="TeXGyreTermes"/>
          <w:lang w:val="en-US"/>
        </w:rPr>
        <w:t>Meshes</w:t>
      </w:r>
    </w:p>
    <w:p>
      <w:pPr>
        <w:pStyle w:val="Normal"/>
        <w:jc w:val="both"/>
        <w:rPr>
          <w:rFonts w:ascii="TeXGyreTermes" w:hAnsi="TeXGyreTermes"/>
        </w:rPr>
      </w:pPr>
      <w:r>
        <w:rPr>
          <w:rFonts w:ascii="TeXGyreTermes" w:hAnsi="TeXGyreTermes"/>
          <w:lang w:val="en-US"/>
        </w:rPr>
        <w:t>GeN-Foam uses three different meshes for neutronics, thermal-hydraulics and thermal-mechanics. There is no requirement for the three meshes to occupy the same region of space. Consistent mapping of fields is performed and a reference value is given to a field if no correspondence is found in the mesh where its value is being projected from. It follows that the geometry for neutronics can include s only a small part of the overall reactor geometry.  Meshes can be created with every OpenFoam-compatible tool. Meshes should be divided into zones (cellZones) to allow the use of different physical properties (e.g., cross sections) in different reactor regions. Sometimes, when converting a mesh to the polymesh format, cellSets (and not cellZones) are created. The topoSetDict must be set and used to convert cellSets to cellZones.</w:t>
      </w:r>
    </w:p>
    <w:p>
      <w:pPr>
        <w:pStyle w:val="Normal"/>
        <w:jc w:val="both"/>
        <w:rPr/>
      </w:pPr>
      <w:r>
        <w:rPr>
          <w:rFonts w:ascii="TeXGyreTermes" w:hAnsi="TeXGyreTermes"/>
          <w:lang w:val="en-US"/>
        </w:rPr>
        <w:t>The ESFR3D_small tutorial includes an example of mesh generation with Gmsh (</w:t>
      </w:r>
      <w:hyperlink r:id="rId2">
        <w:r>
          <w:rPr>
            <w:rStyle w:val="InternetLink"/>
            <w:rFonts w:ascii="TeXGyreTermes" w:hAnsi="TeXGyreTermes"/>
            <w:lang w:val="en-US"/>
          </w:rPr>
          <w:t>http://geuz.org/gmsh/</w:t>
        </w:r>
      </w:hyperlink>
      <w:r>
        <w:rPr>
          <w:rFonts w:ascii="TeXGyreTermes" w:hAnsi="TeXGyreTermes"/>
          <w:lang w:val="en-US"/>
        </w:rPr>
        <w:t>) [</w:t>
      </w:r>
      <w:r>
        <w:rPr>
          <w:rFonts w:ascii="TeXGyreTermes" w:hAnsi="TeXGyreTermes"/>
          <w:lang w:val="en-US"/>
        </w:rPr>
        <w:t>9</w:t>
      </w:r>
      <w:r>
        <w:rPr>
          <w:rFonts w:ascii="TeXGyreTermes" w:hAnsi="TeXGyreTermes"/>
          <w:lang w:val="en-US"/>
        </w:rPr>
        <w:t>]. The folder includes the subfolder “</w:t>
      </w:r>
      <w:r>
        <w:rPr>
          <w:rFonts w:ascii="TeXGyreTermes" w:hAnsi="TeXGyreTermes"/>
          <w:i/>
          <w:lang w:val="en-US"/>
        </w:rPr>
        <w:t>3dESFRMesh</w:t>
      </w:r>
      <w:r>
        <w:rPr>
          <w:rFonts w:ascii="TeXGyreTermes" w:hAnsi="TeXGyreTermes"/>
          <w:lang w:val="en-US"/>
        </w:rPr>
        <w:t xml:space="preserve">” containing three subfolders for the generation of the meshes for neutronics, thermal-hydraulics and thermal-mechanics. To create the 3D ESFR core geometry, one should execute the following command in a terminal: </w:t>
      </w:r>
    </w:p>
    <w:p>
      <w:pPr>
        <w:pStyle w:val="Normal"/>
        <w:ind w:firstLine="708"/>
        <w:jc w:val="both"/>
        <w:rPr>
          <w:i/>
          <w:i/>
          <w:lang w:val="en-US"/>
        </w:rPr>
      </w:pPr>
      <w:r>
        <w:rPr>
          <w:rFonts w:ascii="TeXGyreTermes" w:hAnsi="TeXGyreTermes"/>
          <w:i/>
          <w:lang w:val="en-US"/>
        </w:rPr>
        <w:t xml:space="preserve">gmsh esfMain.geo </w:t>
      </w:r>
    </w:p>
    <w:p>
      <w:pPr>
        <w:pStyle w:val="Normal"/>
        <w:jc w:val="both"/>
        <w:rPr>
          <w:rFonts w:ascii="TeXGyreTermes" w:hAnsi="TeXGyreTermes"/>
        </w:rPr>
      </w:pPr>
      <w:r>
        <w:rPr>
          <w:rFonts w:ascii="TeXGyreTermes" w:hAnsi="TeXGyreTermes"/>
          <w:lang w:val="en-US"/>
        </w:rPr>
        <w:t>This will create (after a relatively long time) a geometry and open the Gmsh graphical interface. The geometry must then be meshed and the mesh saved and copied in the root of the ESF3D_small folder. By typing in a terminal:</w:t>
      </w:r>
    </w:p>
    <w:p>
      <w:pPr>
        <w:pStyle w:val="Normal"/>
        <w:ind w:firstLine="708"/>
        <w:jc w:val="both"/>
        <w:rPr>
          <w:i/>
          <w:i/>
          <w:lang w:val="en-US"/>
        </w:rPr>
      </w:pPr>
      <w:r>
        <w:rPr>
          <w:rFonts w:ascii="TeXGyreTermes" w:hAnsi="TeXGyreTermes"/>
          <w:i/>
          <w:lang w:val="en-US"/>
        </w:rPr>
        <w:t xml:space="preserve">gmshToFoam (name of mesh file) </w:t>
      </w:r>
    </w:p>
    <w:p>
      <w:pPr>
        <w:pStyle w:val="Normal"/>
        <w:jc w:val="both"/>
        <w:rPr>
          <w:lang w:val="en-US"/>
        </w:rPr>
      </w:pPr>
      <w:r>
        <w:rPr>
          <w:rFonts w:ascii="TeXGyreTermes" w:hAnsi="TeXGyreTermes"/>
          <w:lang w:val="en-US"/>
        </w:rPr>
        <w:t>a “</w:t>
      </w:r>
      <w:r>
        <w:rPr>
          <w:rFonts w:ascii="TeXGyreTermes" w:hAnsi="TeXGyreTermes"/>
          <w:i/>
          <w:lang w:val="en-US"/>
        </w:rPr>
        <w:t>polyMesh</w:t>
      </w:r>
      <w:r>
        <w:rPr>
          <w:rFonts w:ascii="TeXGyreTermes" w:hAnsi="TeXGyreTermes"/>
          <w:lang w:val="en-US"/>
        </w:rPr>
        <w:t>” folder will be created or updated in the folder “</w:t>
      </w:r>
      <w:r>
        <w:rPr>
          <w:rFonts w:ascii="TeXGyreTermes" w:hAnsi="TeXGyreTermes"/>
          <w:i/>
          <w:lang w:val="en-US"/>
        </w:rPr>
        <w:t>constant</w:t>
      </w:r>
      <w:r>
        <w:rPr>
          <w:rFonts w:ascii="TeXGyreTermes" w:hAnsi="TeXGyreTermes"/>
          <w:lang w:val="en-US"/>
        </w:rPr>
        <w:t>”. One should then copy this folder in “</w:t>
      </w:r>
      <w:r>
        <w:rPr>
          <w:rFonts w:ascii="TeXGyreTermes" w:hAnsi="TeXGyreTermes"/>
          <w:i/>
          <w:lang w:val="en-US"/>
        </w:rPr>
        <w:t>constant/neutroRegion</w:t>
      </w:r>
      <w:r>
        <w:rPr>
          <w:rFonts w:ascii="TeXGyreTermes" w:hAnsi="TeXGyreTermes"/>
          <w:lang w:val="en-US"/>
        </w:rPr>
        <w:t>”, “</w:t>
      </w:r>
      <w:r>
        <w:rPr>
          <w:rFonts w:ascii="TeXGyreTermes" w:hAnsi="TeXGyreTermes"/>
          <w:i/>
          <w:lang w:val="en-US"/>
        </w:rPr>
        <w:t>constant/fluidRegion</w:t>
      </w:r>
      <w:r>
        <w:rPr>
          <w:rFonts w:ascii="TeXGyreTermes" w:hAnsi="TeXGyreTermes"/>
          <w:lang w:val="en-US"/>
        </w:rPr>
        <w:t>” or “</w:t>
      </w:r>
      <w:r>
        <w:rPr>
          <w:rFonts w:ascii="TeXGyreTermes" w:hAnsi="TeXGyreTermes"/>
          <w:i/>
          <w:lang w:val="en-US"/>
        </w:rPr>
        <w:t>constant/ thermoMechanicalRegion</w:t>
      </w:r>
      <w:r>
        <w:rPr>
          <w:rFonts w:ascii="TeXGyreTermes" w:hAnsi="TeXGyreTermes"/>
          <w:lang w:val="en-US"/>
        </w:rPr>
        <w:t>”, and repeat the operation for all the three meshes.</w:t>
      </w:r>
    </w:p>
    <w:p>
      <w:pPr>
        <w:pStyle w:val="Heading3"/>
        <w:jc w:val="both"/>
        <w:rPr>
          <w:lang w:val="en-US"/>
        </w:rPr>
      </w:pPr>
      <w:r>
        <w:rPr>
          <w:rFonts w:ascii="TeXGyreTermes" w:hAnsi="TeXGyreTermes"/>
          <w:lang w:val="en-US"/>
        </w:rPr>
        <w:t>Physical properties</w:t>
      </w:r>
    </w:p>
    <w:p>
      <w:pPr>
        <w:pStyle w:val="Normal"/>
        <w:jc w:val="both"/>
        <w:rPr>
          <w:lang w:val="en-US"/>
        </w:rPr>
      </w:pPr>
      <w:r>
        <w:rPr>
          <w:rFonts w:ascii="TeXGyreTermes" w:hAnsi="TeXGyreTermes"/>
          <w:lang w:val="en-US"/>
        </w:rPr>
        <w:t>The data for the GeN-Foam simulations can be included in the following input files (dictionaries):</w:t>
      </w:r>
    </w:p>
    <w:p>
      <w:pPr>
        <w:pStyle w:val="ListParagraph"/>
        <w:numPr>
          <w:ilvl w:val="0"/>
          <w:numId w:val="1"/>
        </w:numPr>
        <w:jc w:val="both"/>
        <w:rPr>
          <w:rFonts w:ascii="TeXGyreTermes" w:hAnsi="TeXGyreTermes"/>
        </w:rPr>
      </w:pPr>
      <w:r>
        <w:rPr>
          <w:rFonts w:ascii="TeXGyreTermes" w:hAnsi="TeXGyreTermes"/>
          <w:i/>
          <w:lang w:val="en-US"/>
        </w:rPr>
        <w:t xml:space="preserve">constant/thermoMechanicalRegion/thermoMechanicalProperties </w:t>
      </w:r>
      <w:r>
        <w:rPr>
          <w:rFonts w:ascii="TeXGyreTermes" w:hAnsi="TeXGyreTermes"/>
          <w:lang w:val="en-US"/>
        </w:rPr>
        <w:t xml:space="preserve">- thermo-mechanical properties of structures, subdivided according to the </w:t>
      </w:r>
      <w:r>
        <w:rPr>
          <w:rFonts w:ascii="TeXGyreTermes" w:hAnsi="TeXGyreTermes"/>
          <w:lang w:val="en-US"/>
        </w:rPr>
        <w:t>cell zone</w:t>
      </w:r>
      <w:r>
        <w:rPr>
          <w:rFonts w:ascii="TeXGyreTermes" w:hAnsi="TeXGyreTermes"/>
          <w:lang w:val="en-US"/>
        </w:rPr>
        <w:t xml:space="preserve"> in the thermo-mechanical mesh.</w:t>
      </w:r>
    </w:p>
    <w:p>
      <w:pPr>
        <w:pStyle w:val="ListParagraph"/>
        <w:numPr>
          <w:ilvl w:val="0"/>
          <w:numId w:val="1"/>
        </w:numPr>
        <w:jc w:val="both"/>
        <w:rPr>
          <w:lang w:val="en-US"/>
        </w:rPr>
      </w:pPr>
      <w:r>
        <w:rPr>
          <w:rFonts w:ascii="TeXGyreTermes" w:hAnsi="TeXGyreTermes"/>
          <w:i/>
          <w:lang w:val="en-US"/>
        </w:rPr>
        <w:t>constant/fluidRegion/beta</w:t>
      </w:r>
      <w:r>
        <w:rPr>
          <w:rFonts w:ascii="TeXGyreTermes" w:hAnsi="TeXGyreTermes"/>
          <w:lang w:val="en-US"/>
        </w:rPr>
        <w:t xml:space="preserve"> and </w:t>
      </w:r>
      <w:r>
        <w:rPr>
          <w:rFonts w:ascii="TeXGyreTermes" w:hAnsi="TeXGyreTermes"/>
          <w:i/>
          <w:lang w:val="en-US"/>
        </w:rPr>
        <w:t>constant/fluid/Tref</w:t>
      </w:r>
      <w:r>
        <w:rPr>
          <w:rFonts w:ascii="TeXGyreTermes" w:hAnsi="TeXGyreTermes"/>
          <w:lang w:val="en-US"/>
        </w:rPr>
        <w:t xml:space="preserve"> - thermal expansion coefficient for the coolant and reference temperature to evaluate the gravitational force in case of incompressible simulations with constant coolant density (Boussinesq approximation).</w:t>
      </w:r>
    </w:p>
    <w:p>
      <w:pPr>
        <w:pStyle w:val="ListParagraph"/>
        <w:numPr>
          <w:ilvl w:val="0"/>
          <w:numId w:val="1"/>
        </w:numPr>
        <w:jc w:val="both"/>
        <w:rPr>
          <w:lang w:val="en-US"/>
        </w:rPr>
      </w:pPr>
      <w:r>
        <w:rPr>
          <w:rFonts w:ascii="TeXGyreTermes" w:hAnsi="TeXGyreTermes"/>
          <w:i/>
          <w:lang w:val="en-US"/>
        </w:rPr>
        <w:t>constant/fluidRegion/g</w:t>
      </w:r>
      <w:r>
        <w:rPr>
          <w:rFonts w:ascii="TeXGyreTermes" w:hAnsi="TeXGyreTermes"/>
          <w:lang w:val="en-US"/>
        </w:rPr>
        <w:t xml:space="preserve"> - gravitational acceleration</w:t>
      </w:r>
    </w:p>
    <w:p>
      <w:pPr>
        <w:pStyle w:val="ListParagraph"/>
        <w:numPr>
          <w:ilvl w:val="0"/>
          <w:numId w:val="1"/>
        </w:numPr>
        <w:jc w:val="both"/>
        <w:rPr>
          <w:rFonts w:ascii="TeXGyreTermes" w:hAnsi="TeXGyreTermes"/>
        </w:rPr>
      </w:pPr>
      <w:r>
        <w:rPr>
          <w:rFonts w:ascii="TeXGyreTermes" w:hAnsi="TeXGyreTermes"/>
          <w:i/>
          <w:lang w:val="en-US"/>
        </w:rPr>
        <w:t>constant/fluidRegion/fuelProperties</w:t>
      </w:r>
      <w:r>
        <w:rPr>
          <w:rFonts w:ascii="TeXGyreTermes" w:hAnsi="TeXGyreTermes"/>
          <w:lang w:val="en-US"/>
        </w:rPr>
        <w:t xml:space="preserve"> - properties of the sub-scale fuel, for each </w:t>
      </w:r>
      <w:r>
        <w:rPr>
          <w:rFonts w:ascii="TeXGyreTermes" w:hAnsi="TeXGyreTermes"/>
          <w:lang w:val="en-US"/>
        </w:rPr>
        <w:t xml:space="preserve">cell zone </w:t>
      </w:r>
      <w:r>
        <w:rPr>
          <w:rFonts w:ascii="TeXGyreTermes" w:hAnsi="TeXGyreTermes"/>
          <w:lang w:val="en-US"/>
        </w:rPr>
        <w:t xml:space="preserve"> that contains the fuel</w:t>
      </w:r>
    </w:p>
    <w:p>
      <w:pPr>
        <w:pStyle w:val="ListParagraph"/>
        <w:numPr>
          <w:ilvl w:val="0"/>
          <w:numId w:val="1"/>
        </w:numPr>
        <w:jc w:val="both"/>
        <w:rPr>
          <w:rFonts w:ascii="TeXGyreTermes" w:hAnsi="TeXGyreTermes"/>
        </w:rPr>
      </w:pPr>
      <w:r>
        <w:rPr>
          <w:rFonts w:ascii="TeXGyreTermes" w:hAnsi="TeXGyreTermes"/>
          <w:i/>
          <w:lang w:val="en-US"/>
        </w:rPr>
        <w:t>constant/fluidRegion/porousMediumProperties</w:t>
      </w:r>
      <w:r>
        <w:rPr>
          <w:rFonts w:ascii="TeXGyreTermes" w:hAnsi="TeXGyreTermes"/>
          <w:lang w:val="en-US"/>
        </w:rPr>
        <w:t xml:space="preserve"> - properties of the sub-scale porous structure for each </w:t>
      </w:r>
      <w:r>
        <w:rPr>
          <w:rFonts w:ascii="TeXGyreTermes" w:hAnsi="TeXGyreTermes"/>
          <w:lang w:val="en-US"/>
        </w:rPr>
        <w:t>cell zone</w:t>
      </w:r>
      <w:r>
        <w:rPr>
          <w:rFonts w:ascii="TeXGyreTermes" w:hAnsi="TeXGyreTermes"/>
          <w:lang w:val="en-US"/>
        </w:rPr>
        <w:t xml:space="preserve">  that contains a porous structure. </w:t>
      </w:r>
      <w:r>
        <w:rPr>
          <w:rFonts w:ascii="TeXGyreTermes" w:hAnsi="TeXGyreTermes"/>
          <w:lang w:val="en-US"/>
        </w:rPr>
        <w:t>All zones must be specified. A clear fluid is assumed if the zone is left empty.</w:t>
      </w:r>
    </w:p>
    <w:p>
      <w:pPr>
        <w:pStyle w:val="ListParagraph"/>
        <w:numPr>
          <w:ilvl w:val="0"/>
          <w:numId w:val="1"/>
        </w:numPr>
        <w:jc w:val="both"/>
        <w:rPr>
          <w:rFonts w:ascii="TeXGyreTermes" w:hAnsi="TeXGyreTermes"/>
        </w:rPr>
      </w:pPr>
      <w:r>
        <w:rPr>
          <w:rFonts w:ascii="TeXGyreTermes" w:hAnsi="TeXGyreTermes"/>
          <w:i/>
          <w:lang w:val="en-US"/>
        </w:rPr>
        <w:t>constant/fluidRegion/turbulenceProperties</w:t>
      </w:r>
      <w:r>
        <w:rPr>
          <w:rFonts w:ascii="TeXGyreTermes" w:hAnsi="TeXGyreTermes"/>
          <w:lang w:val="en-US"/>
        </w:rPr>
        <w:t xml:space="preserve"> - standard OpenFOAM dictionary to define the turbulence model to be used</w:t>
      </w:r>
    </w:p>
    <w:p>
      <w:pPr>
        <w:pStyle w:val="ListParagraph"/>
        <w:numPr>
          <w:ilvl w:val="0"/>
          <w:numId w:val="1"/>
        </w:numPr>
        <w:jc w:val="both"/>
        <w:rPr>
          <w:rFonts w:ascii="TeXGyreTermes" w:hAnsi="TeXGyreTermes"/>
        </w:rPr>
      </w:pPr>
      <w:r>
        <w:rPr>
          <w:rFonts w:ascii="TeXGyreTermes" w:hAnsi="TeXGyreTermes"/>
          <w:i/>
          <w:lang w:val="en-US"/>
        </w:rPr>
        <w:t>constant/fluidRegion/thermophysicalProperties</w:t>
      </w:r>
      <w:r>
        <w:rPr>
          <w:rFonts w:ascii="TeXGyreTermes" w:hAnsi="TeXGyreTermes"/>
          <w:lang w:val="en-US"/>
        </w:rPr>
        <w:t xml:space="preserve"> - standard OpenFOAM dictionary to define the thermophysical properties of the coolant</w:t>
      </w:r>
    </w:p>
    <w:p>
      <w:pPr>
        <w:pStyle w:val="ListParagraph"/>
        <w:numPr>
          <w:ilvl w:val="0"/>
          <w:numId w:val="1"/>
        </w:numPr>
        <w:jc w:val="both"/>
        <w:rPr>
          <w:rFonts w:ascii="TeXGyreTermes" w:hAnsi="TeXGyreTermes"/>
        </w:rPr>
      </w:pPr>
      <w:r>
        <w:rPr>
          <w:rFonts w:ascii="TeXGyreTermes" w:hAnsi="TeXGyreTermes"/>
          <w:lang w:val="en-US"/>
        </w:rPr>
        <w:t xml:space="preserve">constant/neutroRegion/neutronicsProperties </w:t>
      </w:r>
      <w:r>
        <w:rPr>
          <w:rFonts w:ascii="TeXGyreTermes" w:hAnsi="TeXGyreTermes"/>
          <w:b w:val="false"/>
          <w:bCs w:val="false"/>
          <w:lang w:val="en-US"/>
        </w:rPr>
        <w:t>-</w:t>
      </w:r>
      <w:r>
        <w:rPr>
          <w:rFonts w:ascii="TeXGyreTermes" w:hAnsi="TeXGyreTermes"/>
          <w:lang w:val="en-US"/>
        </w:rPr>
        <w:t xml:space="preserve"> dictionary to control how neutronics is solved (diffusion, SP3 </w:t>
      </w:r>
      <w:r>
        <w:rPr>
          <w:rFonts w:ascii="TeXGyreTermes" w:hAnsi="TeXGyreTermes"/>
          <w:lang w:val="en-US"/>
        </w:rPr>
        <w:t>or SN</w:t>
      </w:r>
      <w:r>
        <w:rPr>
          <w:rFonts w:ascii="TeXGyreTermes" w:hAnsi="TeXGyreTermes"/>
          <w:lang w:val="en-US"/>
        </w:rPr>
        <w:t xml:space="preserve">), </w:t>
      </w:r>
      <w:r>
        <w:rPr>
          <w:rFonts w:ascii="TeXGyreTermes" w:hAnsi="TeXGyreTermes"/>
          <w:lang w:val="en-US"/>
        </w:rPr>
        <w:t>and</w:t>
      </w:r>
      <w:r>
        <w:rPr>
          <w:rFonts w:ascii="TeXGyreTermes" w:hAnsi="TeXGyreTermes"/>
          <w:lang w:val="en-US"/>
        </w:rPr>
        <w:t xml:space="preserve"> i</w:t>
      </w:r>
      <w:r>
        <w:rPr>
          <w:rFonts w:ascii="TeXGyreTermes" w:hAnsi="TeXGyreTermes"/>
          <w:lang w:val="en-US"/>
        </w:rPr>
        <w:t>f</w:t>
      </w:r>
      <w:r>
        <w:rPr>
          <w:rFonts w:ascii="TeXGyreTermes" w:hAnsi="TeXGyreTermes"/>
          <w:lang w:val="en-US"/>
        </w:rPr>
        <w:t xml:space="preserve"> it's an eigenvalue calculation </w:t>
      </w:r>
      <w:r>
        <w:rPr>
          <w:rFonts w:ascii="TeXGyreTermes" w:hAnsi="TeXGyreTermes"/>
          <w:lang w:val="en-US"/>
        </w:rPr>
        <w:t xml:space="preserve">or not. </w:t>
      </w:r>
    </w:p>
    <w:p>
      <w:pPr>
        <w:pStyle w:val="ListParagraph"/>
        <w:numPr>
          <w:ilvl w:val="0"/>
          <w:numId w:val="3"/>
        </w:numPr>
        <w:jc w:val="both"/>
        <w:rPr>
          <w:rFonts w:ascii="TeXGyreTermes" w:hAnsi="TeXGyreTermes"/>
        </w:rPr>
      </w:pPr>
      <w:r>
        <w:rPr>
          <w:rFonts w:ascii="TeXGyreTermes" w:hAnsi="TeXGyreTermes"/>
          <w:i/>
          <w:lang w:val="en-US"/>
        </w:rPr>
        <w:t xml:space="preserve">constant/neutroRegion/nuclearData </w:t>
      </w:r>
      <w:r>
        <w:rPr>
          <w:rFonts w:ascii="TeXGyreTermes" w:hAnsi="TeXGyreTermes"/>
          <w:lang w:val="en-US"/>
        </w:rPr>
        <w:t xml:space="preserve">- contains all basic nuclear properties for the reference reactor state. The other </w:t>
      </w:r>
      <w:r>
        <w:rPr>
          <w:rFonts w:ascii="TeXGyreTermes" w:hAnsi="TeXGyreTermes"/>
          <w:i/>
          <w:lang w:val="en-US"/>
        </w:rPr>
        <w:t>nuclearData</w:t>
      </w:r>
      <w:r>
        <w:rPr>
          <w:rFonts w:ascii="TeXGyreTermes" w:hAnsi="TeXGyreTermes"/>
          <w:lang w:val="en-US"/>
        </w:rPr>
        <w:t>* files in “</w:t>
      </w:r>
      <w:r>
        <w:rPr>
          <w:rFonts w:ascii="TeXGyreTermes" w:hAnsi="TeXGyreTermes"/>
          <w:i/>
          <w:lang w:val="en-US"/>
        </w:rPr>
        <w:t>constant/neutronics/”</w:t>
      </w:r>
      <w:r>
        <w:rPr>
          <w:rFonts w:ascii="TeXGyreTermes" w:hAnsi="TeXGyreTermes"/>
          <w:lang w:val="en-US"/>
        </w:rPr>
        <w:t xml:space="preserve"> should include the cross-sections for perturbed reactor states. Linear interpolation is performed by GeN-Foam between reference and perturbed reactor states, except for fuel temperature, for which a logarithmic or square root interpolation is provided (depending on the spectrum).  If no data are provided, the reference cross sections are used. Nuclear data can be generated using whatever nuclear code.  The </w:t>
      </w:r>
      <w:r>
        <w:rPr>
          <w:rFonts w:ascii="TeXGyreTermes" w:hAnsi="TeXGyreTermes"/>
          <w:i/>
          <w:lang w:val="en-US"/>
        </w:rPr>
        <w:t>serpentToFoam</w:t>
      </w:r>
      <w:r>
        <w:rPr>
          <w:rFonts w:ascii="TeXGyreTermes" w:hAnsi="TeXGyreTermes"/>
          <w:lang w:val="en-US"/>
        </w:rPr>
        <w:t xml:space="preserve"> routines provided with GeN-Foam </w:t>
      </w:r>
      <w:r>
        <w:rPr>
          <w:rFonts w:ascii="TeXGyreTermes" w:hAnsi="TeXGyreTermes"/>
          <w:lang w:val="en-US"/>
        </w:rPr>
        <w:t xml:space="preserve">(in the </w:t>
      </w:r>
      <w:r>
        <w:rPr>
          <w:rFonts w:ascii="TeXGyreTermes" w:hAnsi="TeXGyreTermes"/>
          <w:i/>
          <w:iCs/>
          <w:lang w:val="en-US"/>
        </w:rPr>
        <w:t>Tools</w:t>
      </w:r>
      <w:r>
        <w:rPr>
          <w:rFonts w:ascii="TeXGyreTermes" w:hAnsi="TeXGyreTermes"/>
          <w:lang w:val="en-US"/>
        </w:rPr>
        <w:t xml:space="preserve"> folder)</w:t>
      </w:r>
      <w:r>
        <w:rPr>
          <w:rFonts w:ascii="TeXGyreTermes" w:hAnsi="TeXGyreTermes"/>
          <w:lang w:val="en-US"/>
        </w:rPr>
        <w:t xml:space="preserve"> is a </w:t>
      </w:r>
      <w:r>
        <w:rPr>
          <w:rFonts w:ascii="TeXGyreTermes" w:hAnsi="TeXGyreTermes"/>
          <w:lang w:val="en-US"/>
        </w:rPr>
        <w:t>O</w:t>
      </w:r>
      <w:r>
        <w:rPr>
          <w:rFonts w:ascii="TeXGyreTermes" w:hAnsi="TeXGyreTermes"/>
          <w:lang w:val="en-US"/>
        </w:rPr>
        <w:t xml:space="preserve">ctave script that automatically converts serpent output files into the nuclear data files employed by GeN-Foam. The entry discFactor is used only if discontinuity factors have to be used. The term integralFlux, is used only if the automatic adjustment of discontinuity factors is performed. Nonetheless, these entries should always be present. </w:t>
      </w:r>
    </w:p>
    <w:p>
      <w:pPr>
        <w:pStyle w:val="ListParagraph"/>
        <w:numPr>
          <w:ilvl w:val="0"/>
          <w:numId w:val="3"/>
        </w:numPr>
        <w:jc w:val="both"/>
        <w:rPr>
          <w:rFonts w:ascii="TeXGyreTermes" w:hAnsi="TeXGyreTermes"/>
        </w:rPr>
      </w:pPr>
      <w:r>
        <w:rPr>
          <w:rFonts w:ascii="TeXGyreTermes" w:hAnsi="TeXGyreTermes"/>
          <w:i/>
          <w:lang w:val="en-US"/>
        </w:rPr>
        <w:t xml:space="preserve">constant/neutroRegion/CRMove - </w:t>
      </w:r>
      <w:r>
        <w:rPr>
          <w:rFonts w:ascii="TeXGyreTermes" w:hAnsi="TeXGyreTermes"/>
          <w:lang w:val="en-US"/>
        </w:rPr>
        <w:t>contains input data for control rods movement. Control rods can be moved from the initial position to a new one by selecting initial and final time of the insertion/extraction and the speed of insertion/extraction (positive speed for insertion).</w:t>
      </w:r>
    </w:p>
    <w:p>
      <w:pPr>
        <w:pStyle w:val="ListParagraph"/>
        <w:jc w:val="both"/>
        <w:rPr>
          <w:rFonts w:ascii="TeXGyreTermes" w:hAnsi="TeXGyreTermes"/>
          <w:lang w:val="en-US"/>
        </w:rPr>
      </w:pPr>
      <w:r>
        <w:rPr>
          <w:rFonts w:ascii="TeXGyreTermes" w:hAnsi="TeXGyreTermes"/>
          <w:lang w:val="en-US"/>
        </w:rPr>
      </w:r>
    </w:p>
    <w:p>
      <w:pPr>
        <w:pStyle w:val="ListParagraph"/>
        <w:jc w:val="both"/>
        <w:rPr>
          <w:lang w:val="en-US"/>
        </w:rPr>
      </w:pPr>
      <w:r>
        <w:rPr>
          <w:rFonts w:ascii="TeXGyreTermes" w:hAnsi="TeXGyreTermes"/>
          <w:lang w:val="en-US"/>
        </w:rPr>
        <w:t xml:space="preserve">N.B.: the </w:t>
      </w:r>
      <w:r>
        <w:rPr>
          <w:rFonts w:ascii="TeXGyreTermes" w:hAnsi="TeXGyreTermes"/>
          <w:i/>
          <w:lang w:val="en-US"/>
        </w:rPr>
        <w:t xml:space="preserve">nuclearData* </w:t>
      </w:r>
      <w:r>
        <w:rPr>
          <w:rFonts w:ascii="TeXGyreTermes" w:hAnsi="TeXGyreTermes"/>
          <w:lang w:val="en-US"/>
        </w:rPr>
        <w:t>files must always be present, even when not parametrizing cross-sections. If no parametrization is needed, the “zone” card must be left “blank” as:</w:t>
      </w:r>
    </w:p>
    <w:p>
      <w:pPr>
        <w:pStyle w:val="ListParagraph"/>
        <w:jc w:val="both"/>
        <w:rPr>
          <w:rFonts w:ascii="TeXGyreTermes" w:hAnsi="TeXGyreTermes"/>
          <w:lang w:val="en-US"/>
        </w:rPr>
      </w:pPr>
      <w:r>
        <w:rPr>
          <w:rFonts w:ascii="TeXGyreTermes" w:hAnsi="TeXGyreTermes"/>
          <w:lang w:val="en-US"/>
        </w:rPr>
      </w:r>
    </w:p>
    <w:p>
      <w:pPr>
        <w:pStyle w:val="ListParagraph"/>
        <w:jc w:val="both"/>
        <w:rPr>
          <w:i/>
          <w:i/>
          <w:iCs/>
        </w:rPr>
      </w:pPr>
      <w:r>
        <w:rPr>
          <w:rFonts w:ascii="TeXGyreTermes" w:hAnsi="TeXGyreTermes"/>
          <w:i/>
          <w:iCs/>
        </w:rPr>
        <w:t xml:space="preserve">zones </w:t>
      </w:r>
    </w:p>
    <w:p>
      <w:pPr>
        <w:pStyle w:val="ListParagraph"/>
        <w:jc w:val="both"/>
        <w:rPr>
          <w:i/>
          <w:i/>
          <w:iCs/>
        </w:rPr>
      </w:pPr>
      <w:r>
        <w:rPr>
          <w:rFonts w:ascii="TeXGyreTermes" w:hAnsi="TeXGyreTermes"/>
          <w:i/>
          <w:iCs/>
        </w:rPr>
        <w:t xml:space="preserve"> </w:t>
      </w:r>
      <w:r>
        <w:rPr>
          <w:rFonts w:ascii="TeXGyreTermes" w:hAnsi="TeXGyreTermes"/>
          <w:i/>
          <w:iCs/>
        </w:rPr>
        <w:t xml:space="preserve">( </w:t>
      </w:r>
    </w:p>
    <w:p>
      <w:pPr>
        <w:pStyle w:val="ListParagraph"/>
        <w:jc w:val="both"/>
        <w:rPr>
          <w:rFonts w:ascii="TeXGyreTermes" w:hAnsi="TeXGyreTermes"/>
          <w:i/>
          <w:i/>
          <w:iCs/>
        </w:rPr>
      </w:pPr>
      <w:r>
        <w:rPr>
          <w:rFonts w:ascii="TeXGyreTermes" w:hAnsi="TeXGyreTermes"/>
          <w:i/>
          <w:iCs/>
        </w:rPr>
      </w:r>
    </w:p>
    <w:p>
      <w:pPr>
        <w:pStyle w:val="ListParagraph"/>
        <w:jc w:val="both"/>
        <w:rPr>
          <w:i/>
          <w:i/>
          <w:iCs/>
        </w:rPr>
      </w:pPr>
      <w:r>
        <w:rPr>
          <w:rFonts w:ascii="TeXGyreTermes" w:hAnsi="TeXGyreTermes"/>
          <w:i/>
          <w:iCs/>
        </w:rPr>
        <w:t xml:space="preserve"> </w:t>
      </w:r>
      <w:r>
        <w:rPr>
          <w:rFonts w:ascii="TeXGyreTermes" w:hAnsi="TeXGyreTermes"/>
          <w:i/>
          <w:iCs/>
        </w:rPr>
        <w:t xml:space="preserve">); </w:t>
      </w:r>
    </w:p>
    <w:p>
      <w:pPr>
        <w:pStyle w:val="ListParagraph"/>
        <w:jc w:val="both"/>
        <w:rPr>
          <w:rFonts w:ascii="TeXGyreTermes" w:hAnsi="TeXGyreTermes"/>
          <w:i/>
          <w:i/>
          <w:iCs/>
          <w:lang w:val="en-US"/>
        </w:rPr>
      </w:pPr>
      <w:r>
        <w:rPr>
          <w:rFonts w:ascii="TeXGyreTermes" w:hAnsi="TeXGyreTermes"/>
          <w:i/>
          <w:iCs/>
          <w:lang w:val="en-US"/>
        </w:rPr>
      </w:r>
    </w:p>
    <w:p>
      <w:pPr>
        <w:pStyle w:val="ListParagraph"/>
        <w:ind w:hanging="0"/>
        <w:jc w:val="both"/>
        <w:rPr>
          <w:rFonts w:ascii="TeXGyreTermes" w:hAnsi="TeXGyreTermes"/>
          <w:i/>
          <w:i/>
          <w:iCs/>
          <w:lang w:val="en-US"/>
        </w:rPr>
      </w:pPr>
      <w:r>
        <w:rPr>
          <w:rFonts w:ascii="TeXGyreTermes" w:hAnsi="TeXGyreTermes"/>
          <w:i/>
          <w:iCs/>
          <w:lang w:val="en-US"/>
        </w:rPr>
      </w:r>
    </w:p>
    <w:p>
      <w:pPr>
        <w:pStyle w:val="ListParagraph"/>
        <w:ind w:left="0" w:hanging="0"/>
        <w:jc w:val="both"/>
        <w:rPr>
          <w:rFonts w:ascii="Cambria" w:hAnsi="Cambria" w:eastAsia="SimSun"/>
          <w:b/>
          <w:b/>
          <w:bCs/>
          <w:color w:val="4F81BD"/>
          <w:lang w:val="en-US"/>
        </w:rPr>
      </w:pPr>
      <w:r>
        <w:rPr>
          <w:rFonts w:eastAsia="SimSun" w:ascii="TeXGyreTermes" w:hAnsi="TeXGyreTermes"/>
          <w:b/>
          <w:bCs/>
          <w:color w:val="4F81BD"/>
          <w:lang w:val="en-US"/>
        </w:rPr>
        <w:t>Initial values and boundary conditions</w:t>
      </w:r>
    </w:p>
    <w:p>
      <w:pPr>
        <w:pStyle w:val="Heading3"/>
        <w:jc w:val="both"/>
        <w:rPr>
          <w:rFonts w:ascii="TeXGyreTermes" w:hAnsi="TeXGyreTermes"/>
        </w:rPr>
      </w:pPr>
      <w:r>
        <w:rPr>
          <w:rFonts w:eastAsia="Calibri" w:ascii="TeXGyreTermes" w:hAnsi="TeXGyreTermes"/>
          <w:b w:val="false"/>
          <w:bCs w:val="false"/>
          <w:color w:val="00000A"/>
          <w:lang w:val="en-US"/>
        </w:rPr>
        <w:t xml:space="preserve">As in all standard OpenFOAM solvers, initial values (IC) and boundary conditions (BC) should be provided </w:t>
      </w:r>
      <w:bookmarkStart w:id="0" w:name="_GoBack"/>
      <w:bookmarkEnd w:id="0"/>
      <w:r>
        <w:rPr>
          <w:rFonts w:eastAsia="Calibri" w:ascii="TeXGyreTermes" w:hAnsi="TeXGyreTermes"/>
          <w:b w:val="false"/>
          <w:bCs w:val="false"/>
          <w:color w:val="00000A"/>
          <w:lang w:val="en-US"/>
        </w:rPr>
        <w:t>in the “</w:t>
      </w:r>
      <w:r>
        <w:rPr>
          <w:rFonts w:eastAsia="Calibri" w:ascii="TeXGyreTermes" w:hAnsi="TeXGyreTermes"/>
          <w:b w:val="false"/>
          <w:bCs w:val="false"/>
          <w:i/>
          <w:iCs/>
          <w:color w:val="00000A"/>
          <w:lang w:val="en-US"/>
        </w:rPr>
        <w:t>0</w:t>
      </w:r>
      <w:r>
        <w:rPr>
          <w:rFonts w:eastAsia="Calibri" w:ascii="TeXGyreTermes" w:hAnsi="TeXGyreTermes"/>
          <w:b w:val="false"/>
          <w:bCs w:val="false"/>
          <w:color w:val="00000A"/>
          <w:lang w:val="en-US"/>
        </w:rPr>
        <w:t xml:space="preserve">” folder. In the case of neutronics, the user can either specify different IC and BC for each one of the fluxes (that must be named fluxStar0, fluxStar1., etc…), or provide the same IC and BC to all fluxes by using the defaultFlux field. </w:t>
      </w:r>
      <w:r>
        <w:rPr>
          <w:rFonts w:eastAsia="Calibri" w:ascii="TeXGyreTermes" w:hAnsi="TeXGyreTermes"/>
          <w:b w:val="false"/>
          <w:bCs w:val="false"/>
          <w:color w:val="00000A"/>
          <w:lang w:val="en-US"/>
        </w:rPr>
        <w:t>I</w:t>
      </w:r>
      <w:r>
        <w:rPr>
          <w:rFonts w:eastAsia="Calibri" w:ascii="TeXGyreTermes" w:hAnsi="TeXGyreTermes"/>
          <w:b w:val="false"/>
          <w:bCs w:val="false"/>
          <w:color w:val="00000A"/>
          <w:lang w:val="en-US"/>
        </w:rPr>
        <w:t xml:space="preserve">n case of SP3 calculations, the IC and BC for the second moment can be imposed either for each energy (using fields named fluxStar20, fluxStar21., etc…), or to all energies by using the defaultFlux2 field. </w:t>
      </w:r>
      <w:r>
        <w:rPr>
          <w:rFonts w:eastAsia="Calibri" w:ascii="TeXGyreTermes" w:hAnsi="TeXGyreTermes"/>
          <w:b w:val="false"/>
          <w:bCs w:val="false"/>
          <w:color w:val="00000A"/>
          <w:lang w:val="en-US"/>
        </w:rPr>
        <w:t>I</w:t>
      </w:r>
      <w:r>
        <w:rPr>
          <w:rFonts w:eastAsia="Calibri" w:ascii="TeXGyreTermes" w:hAnsi="TeXGyreTermes"/>
          <w:b w:val="false"/>
          <w:bCs w:val="false"/>
          <w:color w:val="00000A"/>
          <w:lang w:val="en-US"/>
        </w:rPr>
        <w:t xml:space="preserve">n case of </w:t>
      </w:r>
      <w:r>
        <w:rPr>
          <w:rFonts w:eastAsia="Calibri" w:ascii="TeXGyreTermes" w:hAnsi="TeXGyreTermes"/>
          <w:b w:val="false"/>
          <w:bCs w:val="false"/>
          <w:color w:val="00000A"/>
          <w:lang w:val="en-US"/>
        </w:rPr>
        <w:t>SN</w:t>
      </w:r>
      <w:r>
        <w:rPr>
          <w:rFonts w:eastAsia="Calibri" w:ascii="TeXGyreTermes" w:hAnsi="TeXGyreTermes"/>
          <w:b w:val="false"/>
          <w:bCs w:val="false"/>
          <w:color w:val="00000A"/>
          <w:lang w:val="en-US"/>
        </w:rPr>
        <w:t xml:space="preserve"> calculations, </w:t>
      </w:r>
      <w:r>
        <w:rPr>
          <w:rFonts w:eastAsia="Calibri" w:ascii="TeXGyreTermes" w:hAnsi="TeXGyreTermes"/>
          <w:b w:val="false"/>
          <w:bCs w:val="false"/>
          <w:color w:val="00000A"/>
          <w:lang w:val="en-US"/>
        </w:rPr>
        <w:t>it is suggested not to modify the boundary conditions and to use the defaultFlux file.</w:t>
      </w:r>
    </w:p>
    <w:p>
      <w:pPr>
        <w:pStyle w:val="Normal"/>
        <w:jc w:val="both"/>
        <w:rPr>
          <w:rFonts w:ascii="TeXGyreTermes" w:hAnsi="TeXGyreTermes"/>
        </w:rPr>
      </w:pPr>
      <w:r>
        <w:rPr>
          <w:rFonts w:ascii="TeXGyreTermes" w:hAnsi="TeXGyreTermes"/>
          <w:lang w:val="en-US"/>
        </w:rPr>
        <w:t xml:space="preserve">In addition to the standard OpenFOAM BC, an albedo boundary condition is available in GeN-Foam </w:t>
      </w:r>
      <w:r>
        <w:rPr>
          <w:rFonts w:ascii="TeXGyreTermes" w:hAnsi="TeXGyreTermes"/>
          <w:lang w:val="en-US"/>
        </w:rPr>
        <w:t>for diffudion and SP3 calculations</w:t>
      </w:r>
      <w:r>
        <w:rPr>
          <w:rFonts w:ascii="TeXGyreTermes" w:hAnsi="TeXGyreTermes"/>
          <w:lang w:val="en-US"/>
        </w:rPr>
        <w:t xml:space="preserve"> and can be used according to the following syntax:</w:t>
      </w:r>
    </w:p>
    <w:p>
      <w:pPr>
        <w:pStyle w:val="Normal"/>
        <w:jc w:val="both"/>
        <w:rPr>
          <w:i/>
          <w:i/>
          <w:iCs/>
          <w:lang w:val="en-US"/>
        </w:rPr>
      </w:pPr>
      <w:r>
        <w:rPr>
          <w:rFonts w:ascii="TeXGyreTermes" w:hAnsi="TeXGyreTermes"/>
          <w:i/>
          <w:iCs/>
          <w:lang w:val="en-US"/>
        </w:rPr>
        <w:t xml:space="preserve">               </w:t>
      </w:r>
      <w:r>
        <w:rPr>
          <w:rFonts w:ascii="TeXGyreTermes" w:hAnsi="TeXGyreTermes"/>
          <w:i/>
          <w:iCs/>
          <w:lang w:val="en-US"/>
        </w:rPr>
        <w:t>type            albedoSP3;</w:t>
      </w:r>
    </w:p>
    <w:p>
      <w:pPr>
        <w:pStyle w:val="Normal"/>
        <w:jc w:val="both"/>
        <w:rPr>
          <w:i/>
          <w:i/>
          <w:iCs/>
          <w:lang w:val="en-US"/>
        </w:rPr>
      </w:pPr>
      <w:r>
        <w:rPr>
          <w:rFonts w:ascii="TeXGyreTermes" w:hAnsi="TeXGyreTermes"/>
          <w:i/>
          <w:iCs/>
          <w:lang w:val="en-US"/>
        </w:rPr>
        <w:tab/>
        <w:t>gamma</w:t>
        <w:tab/>
        <w:tab/>
        <w:t>0.5; // defined as (1-alpha)/(1+alpha)/2, alpha being the albedo coefficient</w:t>
      </w:r>
    </w:p>
    <w:p>
      <w:pPr>
        <w:pStyle w:val="Normal"/>
        <w:jc w:val="both"/>
        <w:rPr>
          <w:i/>
          <w:i/>
          <w:iCs/>
          <w:lang w:val="en-US"/>
        </w:rPr>
      </w:pPr>
      <w:r>
        <w:rPr>
          <w:rFonts w:ascii="TeXGyreTermes" w:hAnsi="TeXGyreTermes"/>
          <w:i/>
          <w:iCs/>
          <w:lang w:val="en-US"/>
        </w:rPr>
        <w:tab/>
        <w:t>diffCoeffName</w:t>
        <w:tab/>
        <w:t>Dalbedo;  //not to be changed</w:t>
      </w:r>
    </w:p>
    <w:p>
      <w:pPr>
        <w:pStyle w:val="Normal"/>
        <w:jc w:val="both"/>
        <w:rPr>
          <w:i/>
          <w:i/>
          <w:iCs/>
          <w:lang w:val="en-US"/>
        </w:rPr>
      </w:pPr>
      <w:r>
        <w:rPr>
          <w:rFonts w:ascii="TeXGyreTermes" w:hAnsi="TeXGyreTermes"/>
          <w:i/>
          <w:iCs/>
          <w:lang w:val="en-US"/>
        </w:rPr>
        <w:tab/>
        <w:t>fluxStarAlbedo  fluxStarAlbedo; //not to be changed</w:t>
      </w:r>
    </w:p>
    <w:p>
      <w:pPr>
        <w:pStyle w:val="Normal"/>
        <w:jc w:val="both"/>
        <w:rPr>
          <w:i/>
          <w:i/>
          <w:iCs/>
          <w:lang w:val="en-US"/>
        </w:rPr>
      </w:pPr>
      <w:r>
        <w:rPr>
          <w:rFonts w:ascii="TeXGyreTermes" w:hAnsi="TeXGyreTermes"/>
          <w:i/>
          <w:iCs/>
          <w:lang w:val="en-US"/>
        </w:rPr>
        <w:tab/>
        <w:t xml:space="preserve">forSecondMoment false;  //true in case it is a condition for a second moment flux (for SP3 </w:t>
        <w:tab/>
        <w:tab/>
        <w:tab/>
        <w:tab/>
        <w:tab/>
        <w:t>calculations)</w:t>
      </w:r>
    </w:p>
    <w:p>
      <w:pPr>
        <w:pStyle w:val="Normal"/>
        <w:jc w:val="both"/>
        <w:rPr>
          <w:i/>
          <w:i/>
          <w:iCs/>
          <w:lang w:val="en-US"/>
        </w:rPr>
      </w:pPr>
      <w:r>
        <w:rPr>
          <w:rFonts w:ascii="TeXGyreTermes" w:hAnsi="TeXGyreTermes"/>
          <w:i/>
          <w:iCs/>
          <w:lang w:val="en-US"/>
        </w:rPr>
        <w:tab/>
        <w:t>value           uniform 1;</w:t>
      </w:r>
    </w:p>
    <w:p>
      <w:pPr>
        <w:pStyle w:val="Normal"/>
        <w:jc w:val="both"/>
        <w:rPr>
          <w:lang w:val="en-US"/>
        </w:rPr>
      </w:pPr>
      <w:r>
        <w:rPr>
          <w:rFonts w:ascii="TeXGyreTermes" w:hAnsi="TeXGyreTermes"/>
          <w:lang w:val="en-US"/>
        </w:rPr>
        <w:t xml:space="preserve">IC and BC for precursors do not have to be specified for standard reactors. On the other hand, they should be specified in case of liquid fuel reactors </w:t>
      </w:r>
      <w:r>
        <w:rPr>
          <w:rFonts w:ascii="TeXGyreTermes" w:hAnsi="TeXGyreTermes"/>
          <w:lang w:val="en-US"/>
        </w:rPr>
        <w:t>(e.g., Molten Salt Reactors)</w:t>
      </w:r>
      <w:r>
        <w:rPr>
          <w:rFonts w:ascii="TeXGyreTermes" w:hAnsi="TeXGyreTermes"/>
          <w:lang w:val="en-US"/>
        </w:rPr>
        <w:t xml:space="preserve">. This is possible by creating a defaultPrec field, in case the same conditions apply to all precursor groups, or by creating the fields named prec0, prec1, etc., in case different conditions must be provided for different precursor groups. </w:t>
      </w:r>
    </w:p>
    <w:p>
      <w:pPr>
        <w:pStyle w:val="Normal"/>
        <w:jc w:val="both"/>
        <w:rPr>
          <w:rFonts w:ascii="TeXGyreTermes" w:hAnsi="TeXGyreTermes"/>
          <w:lang w:val="en-US"/>
        </w:rPr>
      </w:pPr>
      <w:r>
        <w:rPr>
          <w:rFonts w:ascii="TeXGyreTermes" w:hAnsi="TeXGyreTermes"/>
          <w:lang w:val="en-US"/>
        </w:rPr>
      </w:r>
    </w:p>
    <w:p>
      <w:pPr>
        <w:pStyle w:val="Heading3"/>
        <w:jc w:val="both"/>
        <w:rPr>
          <w:lang w:val="en-US"/>
        </w:rPr>
      </w:pPr>
      <w:r>
        <w:rPr>
          <w:rFonts w:ascii="TeXGyreTermes" w:hAnsi="TeXGyreTermes"/>
          <w:lang w:val="en-US"/>
        </w:rPr>
        <w:t>Discretization and solution</w:t>
      </w:r>
    </w:p>
    <w:p>
      <w:pPr>
        <w:pStyle w:val="Normal"/>
        <w:jc w:val="both"/>
        <w:rPr>
          <w:lang w:val="en-US"/>
        </w:rPr>
      </w:pPr>
      <w:r>
        <w:rPr>
          <w:rFonts w:ascii="TeXGyreTermes" w:hAnsi="TeXGyreTermes"/>
          <w:lang w:val="en-US"/>
        </w:rPr>
        <w:t xml:space="preserve">Details for discretization and solution of equations are handled in a standard OpenFOAM way, i.e., through the </w:t>
      </w:r>
      <w:r>
        <w:rPr>
          <w:rFonts w:ascii="TeXGyreTermes" w:hAnsi="TeXGyreTermes"/>
          <w:i/>
          <w:lang w:val="en-US"/>
        </w:rPr>
        <w:t>fvSolution</w:t>
      </w:r>
      <w:r>
        <w:rPr>
          <w:rFonts w:ascii="TeXGyreTermes" w:hAnsi="TeXGyreTermes"/>
          <w:lang w:val="en-US"/>
        </w:rPr>
        <w:t xml:space="preserve"> and </w:t>
      </w:r>
      <w:r>
        <w:rPr>
          <w:rFonts w:ascii="TeXGyreTermes" w:hAnsi="TeXGyreTermes"/>
          <w:i/>
          <w:lang w:val="en-US"/>
        </w:rPr>
        <w:t>fvSchemes</w:t>
      </w:r>
      <w:r>
        <w:rPr>
          <w:rFonts w:ascii="TeXGyreTermes" w:hAnsi="TeXGyreTermes"/>
          <w:lang w:val="en-US"/>
        </w:rPr>
        <w:t xml:space="preserve"> dictionaries in “</w:t>
      </w:r>
      <w:r>
        <w:rPr>
          <w:rFonts w:ascii="TeXGyreTermes" w:hAnsi="TeXGyreTermes"/>
          <w:i/>
          <w:lang w:val="en-US"/>
        </w:rPr>
        <w:t>constant/ neutroRegion</w:t>
      </w:r>
      <w:r>
        <w:rPr>
          <w:rFonts w:ascii="TeXGyreTermes" w:hAnsi="TeXGyreTermes"/>
          <w:lang w:val="en-US"/>
        </w:rPr>
        <w:t>”, “</w:t>
      </w:r>
      <w:r>
        <w:rPr>
          <w:rFonts w:ascii="TeXGyreTermes" w:hAnsi="TeXGyreTermes"/>
          <w:i/>
          <w:lang w:val="en-US"/>
        </w:rPr>
        <w:t>constant/fluidRegion</w:t>
      </w:r>
      <w:r>
        <w:rPr>
          <w:rFonts w:ascii="TeXGyreTermes" w:hAnsi="TeXGyreTermes"/>
          <w:lang w:val="en-US"/>
        </w:rPr>
        <w:t>” or “</w:t>
      </w:r>
      <w:r>
        <w:rPr>
          <w:rFonts w:ascii="TeXGyreTermes" w:hAnsi="TeXGyreTermes"/>
          <w:i/>
          <w:lang w:val="en-US"/>
        </w:rPr>
        <w:t>constant/ thermalMechanicalRegion</w:t>
      </w:r>
      <w:r>
        <w:rPr>
          <w:rFonts w:ascii="TeXGyreTermes" w:hAnsi="TeXGyreTermes"/>
          <w:lang w:val="en-US"/>
        </w:rPr>
        <w:t xml:space="preserve">”. Solution details are determined through the </w:t>
      </w:r>
      <w:r>
        <w:rPr>
          <w:rFonts w:ascii="TeXGyreTermes" w:hAnsi="TeXGyreTermes"/>
          <w:i/>
          <w:lang w:val="en-US"/>
        </w:rPr>
        <w:t>controlDict</w:t>
      </w:r>
      <w:r>
        <w:rPr>
          <w:rFonts w:ascii="TeXGyreTermes" w:hAnsi="TeXGyreTermes"/>
          <w:lang w:val="en-US"/>
        </w:rPr>
        <w:t xml:space="preserve"> in the “</w:t>
      </w:r>
      <w:r>
        <w:rPr>
          <w:rFonts w:ascii="TeXGyreTermes" w:hAnsi="TeXGyreTermes"/>
          <w:i/>
          <w:lang w:val="en-US"/>
        </w:rPr>
        <w:t>system</w:t>
      </w:r>
      <w:r>
        <w:rPr>
          <w:rFonts w:ascii="TeXGyreTermes" w:hAnsi="TeXGyreTermes"/>
          <w:lang w:val="en-US"/>
        </w:rPr>
        <w:t xml:space="preserve">” folder. The </w:t>
      </w:r>
      <w:r>
        <w:rPr>
          <w:rFonts w:ascii="TeXGyreTermes" w:hAnsi="TeXGyreTermes"/>
          <w:i/>
          <w:lang w:val="en-US"/>
        </w:rPr>
        <w:t>controlDict</w:t>
      </w:r>
      <w:r>
        <w:rPr>
          <w:rFonts w:ascii="TeXGyreTermes" w:hAnsi="TeXGyreTermes"/>
          <w:lang w:val="en-US"/>
        </w:rPr>
        <w:t xml:space="preserve"> is extended compared to a standard OpenFOAM </w:t>
      </w:r>
      <w:r>
        <w:rPr>
          <w:rFonts w:ascii="TeXGyreTermes" w:hAnsi="TeXGyreTermes"/>
          <w:i/>
          <w:lang w:val="en-US"/>
        </w:rPr>
        <w:t xml:space="preserve">controlDict </w:t>
      </w:r>
      <w:r>
        <w:rPr>
          <w:rFonts w:ascii="TeXGyreTermes" w:hAnsi="TeXGyreTermes"/>
          <w:lang w:val="en-US"/>
        </w:rPr>
        <w:t>in order to control what solvers are activated and flags that affect the behaviour of GeN-Foam as a whole but are not suitable to be included anywhere else.</w:t>
      </w:r>
    </w:p>
    <w:p>
      <w:pPr>
        <w:pStyle w:val="Heading1"/>
        <w:jc w:val="both"/>
        <w:rPr>
          <w:lang w:val="en-US"/>
        </w:rPr>
      </w:pPr>
      <w:r>
        <w:rPr>
          <w:rFonts w:ascii="TeXGyreTermes" w:hAnsi="TeXGyreTermes"/>
          <w:lang w:val="en-US"/>
        </w:rPr>
        <w:t>Running</w:t>
      </w:r>
    </w:p>
    <w:p>
      <w:pPr>
        <w:pStyle w:val="Normal"/>
        <w:jc w:val="both"/>
        <w:rPr>
          <w:rFonts w:ascii="TeXGyreTermes" w:hAnsi="TeXGyreTermes"/>
        </w:rPr>
      </w:pPr>
      <w:r>
        <w:rPr>
          <w:rFonts w:ascii="TeXGyreTermes" w:hAnsi="TeXGyreTermes"/>
          <w:lang w:val="en-US"/>
        </w:rPr>
        <w:t xml:space="preserve">GeN-Foam should be launched like a standard OpenFOAM solver, by executing the following commands in a terminal </w:t>
      </w:r>
      <w:r>
        <w:rPr>
          <w:rFonts w:ascii="TeXGyreTermes" w:hAnsi="TeXGyreTermes"/>
          <w:lang w:val="en-US"/>
        </w:rPr>
        <w:t>(after sourcing the OpenFOAM environment)</w:t>
      </w:r>
      <w:r>
        <w:rPr>
          <w:rFonts w:ascii="TeXGyreTermes" w:hAnsi="TeXGyreTermes"/>
          <w:lang w:val="en-US"/>
        </w:rPr>
        <w:t>:</w:t>
      </w:r>
    </w:p>
    <w:p>
      <w:pPr>
        <w:pStyle w:val="Normal"/>
        <w:ind w:firstLine="708"/>
        <w:jc w:val="both"/>
        <w:rPr>
          <w:i/>
          <w:i/>
          <w:lang w:val="en-US"/>
        </w:rPr>
      </w:pPr>
      <w:r>
        <w:rPr>
          <w:rFonts w:ascii="TeXGyreTermes" w:hAnsi="TeXGyreTermes"/>
          <w:i/>
          <w:lang w:val="en-US"/>
        </w:rPr>
        <w:t>GeN-Foam</w:t>
      </w:r>
    </w:p>
    <w:p>
      <w:pPr>
        <w:pStyle w:val="Normal"/>
        <w:jc w:val="both"/>
        <w:rPr>
          <w:lang w:val="en-US"/>
        </w:rPr>
      </w:pPr>
      <w:r>
        <w:rPr>
          <w:rFonts w:ascii="TeXGyreTermes" w:hAnsi="TeXGyreTermes"/>
          <w:lang w:val="en-US"/>
        </w:rPr>
        <w:t>or</w:t>
      </w:r>
    </w:p>
    <w:p>
      <w:pPr>
        <w:pStyle w:val="Normal"/>
        <w:ind w:firstLine="708"/>
        <w:jc w:val="both"/>
        <w:rPr>
          <w:i/>
          <w:i/>
          <w:lang w:val="en-US"/>
        </w:rPr>
      </w:pPr>
      <w:r>
        <w:rPr>
          <w:rFonts w:ascii="TeXGyreTermes" w:hAnsi="TeXGyreTermes"/>
          <w:i/>
          <w:lang w:val="en-US"/>
        </w:rPr>
        <w:t>mpirun -np (number of processors) GeN-Foam -parallel</w:t>
      </w:r>
    </w:p>
    <w:p>
      <w:pPr>
        <w:pStyle w:val="Normal"/>
        <w:jc w:val="both"/>
        <w:rPr>
          <w:lang w:val="en-US"/>
        </w:rPr>
      </w:pPr>
      <w:r>
        <w:rPr>
          <w:rFonts w:ascii="TeXGyreTermes" w:hAnsi="TeXGyreTermes"/>
          <w:lang w:val="en-US"/>
        </w:rPr>
        <w:t>In case of parallel calculations, one should decompose each one of the three meshes using the command</w:t>
      </w:r>
    </w:p>
    <w:p>
      <w:pPr>
        <w:pStyle w:val="Normal"/>
        <w:ind w:firstLine="708"/>
        <w:jc w:val="both"/>
        <w:rPr>
          <w:i/>
          <w:i/>
          <w:lang w:val="en-US"/>
        </w:rPr>
      </w:pPr>
      <w:r>
        <w:rPr>
          <w:rFonts w:ascii="TeXGyreTermes" w:hAnsi="TeXGyreTermes"/>
          <w:i/>
          <w:lang w:val="en-US"/>
        </w:rPr>
        <w:t>decomposePar -region (region name)</w:t>
      </w:r>
    </w:p>
    <w:p>
      <w:pPr>
        <w:pStyle w:val="Normal"/>
        <w:jc w:val="both"/>
        <w:rPr>
          <w:lang w:val="en-US"/>
        </w:rPr>
      </w:pPr>
      <w:r>
        <w:rPr>
          <w:rFonts w:ascii="TeXGyreTermes" w:hAnsi="TeXGyreTermes"/>
          <w:lang w:val="en-US"/>
        </w:rPr>
        <w:t xml:space="preserve">where the region name is </w:t>
      </w:r>
      <w:bookmarkStart w:id="1" w:name="__DdeLink__2024_1958483081"/>
      <w:r>
        <w:rPr>
          <w:rFonts w:ascii="TeXGyreTermes" w:hAnsi="TeXGyreTermes"/>
          <w:i/>
          <w:lang w:val="en-US"/>
        </w:rPr>
        <w:t>fluidRegion</w:t>
      </w:r>
      <w:bookmarkEnd w:id="1"/>
      <w:r>
        <w:rPr>
          <w:rFonts w:ascii="TeXGyreTermes" w:hAnsi="TeXGyreTermes"/>
          <w:lang w:val="en-US"/>
        </w:rPr>
        <w:t xml:space="preserve">, </w:t>
      </w:r>
      <w:r>
        <w:rPr>
          <w:rFonts w:ascii="TeXGyreTermes" w:hAnsi="TeXGyreTermes"/>
          <w:i/>
          <w:lang w:val="en-US"/>
        </w:rPr>
        <w:t>neutroRegion</w:t>
      </w:r>
      <w:r>
        <w:rPr>
          <w:rFonts w:ascii="TeXGyreTermes" w:hAnsi="TeXGyreTermes"/>
          <w:lang w:val="en-US"/>
        </w:rPr>
        <w:t xml:space="preserve"> or </w:t>
      </w:r>
      <w:r>
        <w:rPr>
          <w:rFonts w:ascii="TeXGyreTermes" w:hAnsi="TeXGyreTermes"/>
          <w:i/>
          <w:lang w:val="en-US"/>
        </w:rPr>
        <w:t>thermalMechanicalRegion</w:t>
      </w:r>
      <w:r>
        <w:rPr>
          <w:rFonts w:ascii="TeXGyreTermes" w:hAnsi="TeXGyreTermes"/>
          <w:lang w:val="en-US"/>
        </w:rPr>
        <w:t>.</w:t>
      </w:r>
    </w:p>
    <w:p>
      <w:pPr>
        <w:pStyle w:val="Normal"/>
        <w:jc w:val="both"/>
        <w:rPr>
          <w:lang w:val="en-US"/>
        </w:rPr>
      </w:pPr>
      <w:r>
        <w:rPr>
          <w:rFonts w:ascii="TeXGyreTermes" w:hAnsi="TeXGyreTermes"/>
          <w:lang w:val="en-US"/>
        </w:rPr>
        <w:t>N.B.:  all meshes must be decomposed in the same number of domains.</w:t>
      </w:r>
    </w:p>
    <w:p>
      <w:pPr>
        <w:pStyle w:val="Heading1"/>
        <w:jc w:val="both"/>
        <w:rPr>
          <w:lang w:val="en-US"/>
        </w:rPr>
      </w:pPr>
      <w:r>
        <w:rPr>
          <w:rFonts w:ascii="TeXGyreTermes" w:hAnsi="TeXGyreTermes"/>
          <w:lang w:val="en-US"/>
        </w:rPr>
        <w:t>Post-processing</w:t>
      </w:r>
    </w:p>
    <w:p>
      <w:pPr>
        <w:pStyle w:val="Normal"/>
        <w:jc w:val="both"/>
        <w:rPr>
          <w:lang w:val="en-US"/>
        </w:rPr>
      </w:pPr>
      <w:r>
        <w:rPr>
          <w:rFonts w:ascii="TeXGyreTermes" w:hAnsi="TeXGyreTermes"/>
          <w:lang w:val="en-US"/>
        </w:rPr>
        <w:t>Postprocessing can be performed with Paraview, the standard post-processing tool used with OpenFOAM.  Paraview is launched using the command line:</w:t>
      </w:r>
    </w:p>
    <w:p>
      <w:pPr>
        <w:pStyle w:val="Normal"/>
        <w:ind w:firstLine="708"/>
        <w:jc w:val="both"/>
        <w:rPr>
          <w:i/>
          <w:i/>
          <w:lang w:val="en-US"/>
        </w:rPr>
      </w:pPr>
      <w:r>
        <w:rPr>
          <w:rFonts w:ascii="TeXGyreTermes" w:hAnsi="TeXGyreTermes"/>
          <w:i/>
          <w:lang w:val="en-US"/>
        </w:rPr>
        <w:t>paraFoam -region (region name)</w:t>
      </w:r>
    </w:p>
    <w:p>
      <w:pPr>
        <w:pStyle w:val="Normal"/>
        <w:jc w:val="both"/>
        <w:rPr>
          <w:rFonts w:ascii="TeXGyreTermes" w:hAnsi="TeXGyreTermes"/>
        </w:rPr>
      </w:pPr>
      <w:r>
        <w:rPr>
          <w:rFonts w:ascii="TeXGyreTermes" w:hAnsi="TeXGyreTermes"/>
          <w:lang w:val="en-US"/>
        </w:rPr>
        <w:t>where the region name is fluidRegion, neutroRegion or thermalMechanicalRegion.</w:t>
      </w:r>
    </w:p>
    <w:p>
      <w:pPr>
        <w:pStyle w:val="Normal"/>
        <w:jc w:val="both"/>
        <w:rPr>
          <w:rFonts w:ascii="TeXGyreTermes" w:hAnsi="TeXGyreTermes"/>
        </w:rPr>
      </w:pPr>
      <w:r>
        <w:rPr>
          <w:rFonts w:ascii="TeXGyreTermes" w:hAnsi="TeXGyreTermes"/>
          <w:lang w:val="en-US"/>
        </w:rPr>
        <w:t xml:space="preserve">In case of parallel calculations, one should </w:t>
      </w:r>
      <w:r>
        <w:rPr>
          <w:rFonts w:ascii="TeXGyreTermes" w:hAnsi="TeXGyreTermes"/>
          <w:lang w:val="en-US"/>
        </w:rPr>
        <w:t>first</w:t>
      </w:r>
      <w:r>
        <w:rPr>
          <w:rFonts w:ascii="TeXGyreTermes" w:hAnsi="TeXGyreTermes"/>
          <w:lang w:val="en-US"/>
        </w:rPr>
        <w:t xml:space="preserve"> </w:t>
      </w:r>
      <w:r>
        <w:rPr>
          <w:rFonts w:ascii="TeXGyreTermes" w:hAnsi="TeXGyreTermes"/>
          <w:lang w:val="en-US"/>
        </w:rPr>
        <w:t>resontruct</w:t>
      </w:r>
      <w:r>
        <w:rPr>
          <w:rFonts w:ascii="TeXGyreTermes" w:hAnsi="TeXGyreTermes"/>
          <w:lang w:val="en-US"/>
        </w:rPr>
        <w:t xml:space="preserve"> each one of the three meshes using the command</w:t>
      </w:r>
    </w:p>
    <w:p>
      <w:pPr>
        <w:pStyle w:val="Normal"/>
        <w:ind w:firstLine="708"/>
        <w:jc w:val="both"/>
        <w:rPr>
          <w:rFonts w:ascii="TeXGyreTermes" w:hAnsi="TeXGyreTermes"/>
        </w:rPr>
      </w:pPr>
      <w:r>
        <w:rPr>
          <w:rFonts w:ascii="TeXGyreTermes" w:hAnsi="TeXGyreTermes"/>
          <w:i/>
          <w:lang w:val="en-US"/>
        </w:rPr>
        <w:t>recontruct</w:t>
      </w:r>
      <w:r>
        <w:rPr>
          <w:rFonts w:ascii="TeXGyreTermes" w:hAnsi="TeXGyreTermes"/>
          <w:i/>
          <w:lang w:val="en-US"/>
        </w:rPr>
        <w:t>Par -region (region name)</w:t>
      </w:r>
    </w:p>
    <w:p>
      <w:pPr>
        <w:pStyle w:val="Normal"/>
        <w:jc w:val="both"/>
        <w:rPr>
          <w:rFonts w:ascii="TeXGyreTermes" w:hAnsi="TeXGyreTermes"/>
        </w:rPr>
      </w:pPr>
      <w:r>
        <w:rPr>
          <w:rFonts w:ascii="TeXGyreTermes" w:hAnsi="TeXGyreTermes"/>
          <w:lang w:val="en-US"/>
        </w:rPr>
        <w:t xml:space="preserve">where the region name is </w:t>
      </w:r>
      <w:bookmarkStart w:id="2" w:name="__DdeLink__2024_19584830811"/>
      <w:r>
        <w:rPr>
          <w:rFonts w:ascii="TeXGyreTermes" w:hAnsi="TeXGyreTermes"/>
          <w:i/>
          <w:lang w:val="en-US"/>
        </w:rPr>
        <w:t>fluidRegion</w:t>
      </w:r>
      <w:bookmarkEnd w:id="2"/>
      <w:r>
        <w:rPr>
          <w:rFonts w:ascii="TeXGyreTermes" w:hAnsi="TeXGyreTermes"/>
          <w:lang w:val="en-US"/>
        </w:rPr>
        <w:t xml:space="preserve">, </w:t>
      </w:r>
      <w:r>
        <w:rPr>
          <w:rFonts w:ascii="TeXGyreTermes" w:hAnsi="TeXGyreTermes"/>
          <w:i/>
          <w:lang w:val="en-US"/>
        </w:rPr>
        <w:t>neutroRegion</w:t>
      </w:r>
      <w:r>
        <w:rPr>
          <w:rFonts w:ascii="TeXGyreTermes" w:hAnsi="TeXGyreTermes"/>
          <w:lang w:val="en-US"/>
        </w:rPr>
        <w:t xml:space="preserve"> or </w:t>
      </w:r>
      <w:r>
        <w:rPr>
          <w:rFonts w:ascii="TeXGyreTermes" w:hAnsi="TeXGyreTermes"/>
          <w:i/>
          <w:lang w:val="en-US"/>
        </w:rPr>
        <w:t>thermalMechanicalRegion</w:t>
      </w:r>
      <w:r>
        <w:rPr>
          <w:rFonts w:ascii="TeXGyreTermes" w:hAnsi="TeXGyreTermes"/>
          <w:lang w:val="en-US"/>
        </w:rPr>
        <w:t>.</w:t>
      </w:r>
    </w:p>
    <w:p>
      <w:pPr>
        <w:pStyle w:val="Normal"/>
        <w:jc w:val="both"/>
        <w:rPr>
          <w:rFonts w:ascii="TeXGyreTermes" w:hAnsi="TeXGyreTermes"/>
        </w:rPr>
      </w:pPr>
      <w:r>
        <w:rPr>
          <w:rFonts w:ascii="TeXGyreTermes" w:hAnsi="TeXGyreTermes"/>
          <w:lang w:val="en-US"/>
        </w:rPr>
        <w:t xml:space="preserve">GeN-Foam also creates in the case folder </w:t>
      </w:r>
      <w:r>
        <w:rPr>
          <w:rFonts w:ascii="TeXGyreTermes" w:hAnsi="TeXGyreTermes"/>
          <w:lang w:val="en-US"/>
        </w:rPr>
        <w:t>(or in the processor folder for parallel simulations)</w:t>
      </w:r>
      <w:r>
        <w:rPr>
          <w:rFonts w:ascii="TeXGyreTermes" w:hAnsi="TeXGyreTermes"/>
          <w:lang w:val="en-US"/>
        </w:rPr>
        <w:t xml:space="preserve">  the .dat following files: flux (average flux), power, precs (total precursors), Tav (average coolant temperature in the core), TavClad (average clad temperature in the core), TavFuel (average fuel temperature in the core), Tmax (max coolant temperature in the core), TMaxClad (max clad temperature in the core), TMaxFuel  (max fuel temperature in the core), Tmin (min coolant temperature in the core), totalDisplacedCellsVolume (volume of the core)</w:t>
      </w:r>
    </w:p>
    <w:p>
      <w:pPr>
        <w:pStyle w:val="Heading1"/>
        <w:jc w:val="both"/>
        <w:rPr>
          <w:rFonts w:ascii="TeXGyreTermes" w:hAnsi="TeXGyreTermes"/>
        </w:rPr>
      </w:pPr>
      <w:bookmarkStart w:id="3" w:name="__DdeLink__860_1072200586"/>
      <w:r>
        <w:rPr>
          <w:rFonts w:ascii="TeXGyreTermes" w:hAnsi="TeXGyreTermes"/>
          <w:lang w:val="en-US"/>
        </w:rPr>
        <w:t>Tutorials</w:t>
      </w:r>
    </w:p>
    <w:p>
      <w:pPr>
        <w:pStyle w:val="Normal"/>
        <w:jc w:val="both"/>
        <w:rPr>
          <w:rFonts w:ascii="TeXGyreTermes" w:hAnsi="TeXGyreTermes"/>
        </w:rPr>
      </w:pPr>
      <w:bookmarkStart w:id="4" w:name="__DdeLink__860_1072200586"/>
      <w:r>
        <w:rPr>
          <w:rFonts w:ascii="TeXGyreTermes" w:hAnsi="TeXGyreTermes"/>
          <w:lang w:val="en-US"/>
        </w:rPr>
        <w:t>Three tutorials</w:t>
      </w:r>
      <w:bookmarkEnd w:id="4"/>
      <w:r>
        <w:rPr>
          <w:rFonts w:ascii="TeXGyreTermes" w:hAnsi="TeXGyreTermes"/>
          <w:lang w:val="en-US"/>
        </w:rPr>
        <w:t xml:space="preserve"> have been prepared:</w:t>
      </w:r>
    </w:p>
    <w:p>
      <w:pPr>
        <w:pStyle w:val="Normal"/>
        <w:numPr>
          <w:ilvl w:val="0"/>
          <w:numId w:val="6"/>
        </w:numPr>
        <w:jc w:val="both"/>
        <w:rPr/>
      </w:pPr>
      <w:r>
        <w:rPr>
          <w:rFonts w:ascii="TeXGyreTermes" w:hAnsi="TeXGyreTermes"/>
          <w:i/>
          <w:iCs/>
          <w:lang w:val="en-US"/>
        </w:rPr>
        <w:t>ESFR3D_small</w:t>
      </w:r>
      <w:r>
        <w:rPr>
          <w:rFonts w:ascii="TeXGyreTermes" w:hAnsi="TeXGyreTermes"/>
          <w:lang w:val="en-US"/>
        </w:rPr>
        <w:t xml:space="preserve"> is a slightly simplified 3-D model of the core of</w:t>
      </w:r>
      <w:r>
        <w:rPr>
          <w:rFonts w:ascii="TeXGyreTermes" w:hAnsi="TeXGyreTermes"/>
          <w:lang w:val="en-US"/>
        </w:rPr>
        <w:t xml:space="preserve"> the European Sodium Fast Reactor (ESFR) [</w:t>
      </w:r>
      <w:r>
        <w:rPr>
          <w:rFonts w:ascii="TeXGyreTermes" w:hAnsi="TeXGyreTermes"/>
          <w:lang w:val="en-US"/>
        </w:rPr>
        <w:t>10</w:t>
      </w:r>
      <w:r>
        <w:rPr>
          <w:rFonts w:ascii="TeXGyreTermes" w:hAnsi="TeXGyreTermes"/>
          <w:lang w:val="en-US"/>
        </w:rPr>
        <w:t xml:space="preserve">]. </w:t>
      </w:r>
      <w:r>
        <w:rPr>
          <w:rFonts w:ascii="TeXGyreTermes" w:hAnsi="TeXGyreTermes"/>
          <w:lang w:val="en-US"/>
        </w:rPr>
        <w:t xml:space="preserve">It is a full multiphysics case. The </w:t>
      </w:r>
      <w:r>
        <w:rPr>
          <w:rFonts w:ascii="TeXGyreTermes" w:hAnsi="TeXGyreTermes"/>
          <w:i/>
          <w:iCs/>
          <w:lang w:val="en-US"/>
        </w:rPr>
        <w:t>Allrun</w:t>
      </w:r>
      <w:r>
        <w:rPr>
          <w:rFonts w:ascii="TeXGyreTermes" w:hAnsi="TeXGyreTermes"/>
          <w:lang w:val="en-US"/>
        </w:rPr>
        <w:t xml:space="preserve"> </w:t>
      </w:r>
      <w:r>
        <w:rPr>
          <w:rFonts w:ascii="TeXGyreTermes" w:hAnsi="TeXGyreTermes"/>
          <w:lang w:val="en-US"/>
        </w:rPr>
        <w:t>and</w:t>
      </w:r>
      <w:r>
        <w:rPr>
          <w:rFonts w:ascii="TeXGyreTermes" w:hAnsi="TeXGyreTermes"/>
          <w:i/>
          <w:iCs/>
          <w:lang w:val="en-US"/>
        </w:rPr>
        <w:t xml:space="preserve"> Allrun_parallel </w:t>
      </w:r>
      <w:r>
        <w:rPr>
          <w:rFonts w:ascii="TeXGyreTermes" w:hAnsi="TeXGyreTermes"/>
          <w:lang w:val="en-US"/>
        </w:rPr>
        <w:t>bash scripts can be used to run the tutorials in one or 4 cores, respectively. In particular, the scripts will first run a steady-state case with eigenvalue neutronics, and then start from the obrained steady-state, and run a simple transient calculation. No reactivity is inserted in the transient and the power will simply stay constant for 10 seconds. The case is similar to the one presented in Refs. [4,7].</w:t>
      </w:r>
    </w:p>
    <w:p>
      <w:pPr>
        <w:pStyle w:val="Normal"/>
        <w:numPr>
          <w:ilvl w:val="0"/>
          <w:numId w:val="6"/>
        </w:numPr>
        <w:jc w:val="both"/>
        <w:rPr/>
      </w:pPr>
      <w:r>
        <w:rPr>
          <w:rFonts w:ascii="TeXGyreTermes" w:hAnsi="TeXGyreTermes"/>
          <w:i/>
          <w:iCs/>
          <w:lang w:val="en-US"/>
        </w:rPr>
        <w:t xml:space="preserve">ESFR2D_regression </w:t>
      </w:r>
      <w:r>
        <w:rPr>
          <w:rFonts w:ascii="TeXGyreTermes" w:hAnsi="TeXGyreTermes"/>
          <w:lang w:val="en-US"/>
        </w:rPr>
        <w:t xml:space="preserve">is a 2-D r-z model of the ESFR. </w:t>
      </w:r>
      <w:r>
        <w:rPr>
          <w:rFonts w:ascii="TeXGyreTermes" w:hAnsi="TeXGyreTermes"/>
          <w:lang w:val="en-US"/>
        </w:rPr>
        <w:t>It is a full multiphysics case.</w:t>
      </w:r>
      <w:r>
        <w:rPr>
          <w:rFonts w:ascii="TeXGyreTermes" w:hAnsi="TeXGyreTermes"/>
          <w:lang w:val="en-US"/>
        </w:rPr>
        <w:t xml:space="preserve"> It includes both core and primary pool. The pyhton </w:t>
      </w:r>
      <w:r>
        <w:rPr>
          <w:rFonts w:ascii="TeXGyreTermes" w:hAnsi="TeXGyreTermes"/>
          <w:i/>
          <w:iCs/>
          <w:lang w:val="en-US"/>
        </w:rPr>
        <w:t>Allrun.py</w:t>
      </w:r>
      <w:r>
        <w:rPr>
          <w:rFonts w:ascii="TeXGyreTermes" w:hAnsi="TeXGyreTermes"/>
          <w:lang w:val="en-US"/>
        </w:rPr>
        <w:t xml:space="preserve"> and the bash </w:t>
      </w:r>
      <w:r>
        <w:rPr>
          <w:rFonts w:ascii="TeXGyreTermes" w:hAnsi="TeXGyreTermes"/>
          <w:i/>
          <w:iCs/>
          <w:lang w:val="en-US"/>
        </w:rPr>
        <w:t>Allrun.sh</w:t>
      </w:r>
      <w:r>
        <w:rPr>
          <w:rFonts w:ascii="TeXGyreTermes" w:hAnsi="TeXGyreTermes"/>
          <w:lang w:val="en-US"/>
        </w:rPr>
        <w:t xml:space="preserve"> scripts sequentially run  a number of cases as specified in the </w:t>
      </w:r>
      <w:r>
        <w:rPr>
          <w:rFonts w:ascii="TeXGyreTermes" w:hAnsi="TeXGyreTermes"/>
          <w:i/>
          <w:iCs/>
          <w:lang w:val="en-US"/>
        </w:rPr>
        <w:t>runDict</w:t>
      </w:r>
      <w:r>
        <w:rPr>
          <w:rFonts w:ascii="TeXGyreTermes" w:hAnsi="TeXGyreTermes"/>
          <w:lang w:val="en-US"/>
        </w:rPr>
        <w:t xml:space="preserve"> file. The current set-up perform a full set of cases with increasin complexity and it is suitable as regression case. Additional information in the regression case can be found in Ref. [11].</w:t>
      </w:r>
    </w:p>
    <w:p>
      <w:pPr>
        <w:pStyle w:val="Normal"/>
        <w:numPr>
          <w:ilvl w:val="0"/>
          <w:numId w:val="6"/>
        </w:numPr>
        <w:jc w:val="both"/>
        <w:rPr/>
      </w:pPr>
      <w:r>
        <w:rPr>
          <w:rFonts w:ascii="TeXGyreTermes" w:hAnsi="TeXGyreTermes"/>
          <w:lang w:val="en-US"/>
        </w:rPr>
        <w:t xml:space="preserve">godiva_SN is a simple model (sphere) of the Godiva experiment. It only solve for neutronics, with a SN approximation. </w:t>
      </w:r>
      <w:r>
        <w:rPr>
          <w:rFonts w:ascii="TeXGyreTermes" w:hAnsi="TeXGyreTermes"/>
          <w:lang w:val="en-US"/>
        </w:rPr>
        <w:t xml:space="preserve">The </w:t>
      </w:r>
      <w:r>
        <w:rPr>
          <w:rFonts w:ascii="TeXGyreTermes" w:hAnsi="TeXGyreTermes"/>
          <w:i/>
          <w:iCs/>
          <w:lang w:val="en-US"/>
        </w:rPr>
        <w:t>Allrun</w:t>
      </w:r>
      <w:r>
        <w:rPr>
          <w:rFonts w:ascii="TeXGyreTermes" w:hAnsi="TeXGyreTermes"/>
          <w:lang w:val="en-US"/>
        </w:rPr>
        <w:t xml:space="preserve"> </w:t>
      </w:r>
      <w:r>
        <w:rPr>
          <w:rFonts w:ascii="TeXGyreTermes" w:hAnsi="TeXGyreTermes"/>
          <w:lang w:val="en-US"/>
        </w:rPr>
        <w:t>and</w:t>
      </w:r>
      <w:r>
        <w:rPr>
          <w:rFonts w:ascii="TeXGyreTermes" w:hAnsi="TeXGyreTermes"/>
          <w:i/>
          <w:iCs/>
          <w:lang w:val="en-US"/>
        </w:rPr>
        <w:t xml:space="preserve"> Allrun_parallel </w:t>
      </w:r>
      <w:r>
        <w:rPr>
          <w:rFonts w:ascii="TeXGyreTermes" w:hAnsi="TeXGyreTermes"/>
          <w:lang w:val="en-US"/>
        </w:rPr>
        <w:t>bash scripts can be used to run the tutorials in one or 4 cores, respectively.</w:t>
      </w:r>
    </w:p>
    <w:p>
      <w:pPr>
        <w:pStyle w:val="Heading1"/>
        <w:jc w:val="both"/>
        <w:rPr>
          <w:rFonts w:ascii="TeXGyreTermes" w:hAnsi="TeXGyreTermes"/>
        </w:rPr>
      </w:pPr>
      <w:r>
        <w:rPr>
          <w:rFonts w:ascii="TeXGyreTermes" w:hAnsi="TeXGyreTermes"/>
          <w:lang w:val="en-US"/>
        </w:rPr>
        <w:t>Notes</w:t>
      </w:r>
    </w:p>
    <w:p>
      <w:pPr>
        <w:pStyle w:val="Normal"/>
        <w:numPr>
          <w:ilvl w:val="0"/>
          <w:numId w:val="7"/>
        </w:numPr>
        <w:jc w:val="both"/>
        <w:rPr>
          <w:rFonts w:ascii="TeXGyreTermes" w:hAnsi="TeXGyreTermes"/>
        </w:rPr>
      </w:pPr>
      <w:r>
        <w:rPr>
          <w:rFonts w:ascii="TeXGyreTermes" w:hAnsi="TeXGyreTermes"/>
          <w:lang w:val="en-US"/>
        </w:rPr>
        <w:t>A</w:t>
      </w:r>
      <w:r>
        <w:rPr>
          <w:rFonts w:ascii="TeXGyreTermes" w:hAnsi="TeXGyreTermes"/>
          <w:lang w:val="en-US"/>
        </w:rPr>
        <w:t>n adjoint diffusion solver has been implemented but not tested.</w:t>
      </w:r>
    </w:p>
    <w:p>
      <w:pPr>
        <w:pStyle w:val="Normal"/>
        <w:numPr>
          <w:ilvl w:val="0"/>
          <w:numId w:val="7"/>
        </w:numPr>
        <w:jc w:val="both"/>
        <w:rPr>
          <w:rFonts w:ascii="TeXGyreTermes" w:hAnsi="TeXGyreTermes"/>
        </w:rPr>
      </w:pPr>
      <w:r>
        <w:rPr>
          <w:rFonts w:ascii="TeXGyreTermes" w:hAnsi="TeXGyreTermes"/>
        </w:rPr>
        <w:t>The SN solver is currently only for stady-state. Transient analyses can in principle be run, but no acceleration technqieus have ben implemented, which requires hundreds of iterations for each time step.</w:t>
      </w:r>
    </w:p>
    <w:p>
      <w:pPr>
        <w:pStyle w:val="Heading1"/>
        <w:jc w:val="both"/>
        <w:rPr>
          <w:lang w:val="en-US"/>
        </w:rPr>
      </w:pPr>
      <w:r>
        <w:rPr>
          <w:rFonts w:ascii="TeXGyreTermes" w:hAnsi="TeXGyreTermes"/>
          <w:lang w:val="en-US"/>
        </w:rPr>
        <w:t xml:space="preserve"> </w:t>
      </w:r>
      <w:r>
        <w:rPr>
          <w:rFonts w:ascii="TeXGyreTermes" w:hAnsi="TeXGyreTermes"/>
          <w:lang w:val="en-US"/>
        </w:rPr>
        <w:t>References</w:t>
      </w:r>
    </w:p>
    <w:p>
      <w:pPr>
        <w:pStyle w:val="ListParagraph"/>
        <w:numPr>
          <w:ilvl w:val="0"/>
          <w:numId w:val="2"/>
        </w:numPr>
        <w:jc w:val="both"/>
        <w:rPr>
          <w:rFonts w:ascii="TeXGyreTermes" w:hAnsi="TeXGyreTermes"/>
        </w:rPr>
      </w:pPr>
      <w:r>
        <w:rPr>
          <w:rFonts w:ascii="TeXGyreTermes" w:hAnsi="TeXGyreTermes"/>
          <w:lang w:val="en-US"/>
        </w:rPr>
        <w:t>Weller, H.G., Tabor, G., Jasak, H., Fureby, C., 1998. A Tensorial Approach to Computational Continuum Mechanics Using Object-Oriented Techniques. Computers in Physics 12, 620-631.</w:t>
      </w:r>
    </w:p>
    <w:p>
      <w:pPr>
        <w:pStyle w:val="ListParagraph"/>
        <w:numPr>
          <w:ilvl w:val="0"/>
          <w:numId w:val="2"/>
        </w:numPr>
        <w:jc w:val="both"/>
        <w:rPr/>
      </w:pPr>
      <w:hyperlink r:id="rId3">
        <w:r>
          <w:rPr>
            <w:rStyle w:val="InternetLink"/>
            <w:rFonts w:ascii="TeXGyreTermes" w:hAnsi="TeXGyreTermes"/>
            <w:lang w:val="en-US"/>
          </w:rPr>
          <w:t>https://www.openfoam.com/</w:t>
        </w:r>
      </w:hyperlink>
    </w:p>
    <w:p>
      <w:pPr>
        <w:pStyle w:val="ListParagraph"/>
        <w:numPr>
          <w:ilvl w:val="0"/>
          <w:numId w:val="2"/>
        </w:numPr>
        <w:jc w:val="both"/>
        <w:rPr/>
      </w:pPr>
      <w:hyperlink r:id="rId4">
        <w:r>
          <w:rPr>
            <w:rStyle w:val="InternetLink"/>
            <w:rFonts w:ascii="TeXGyreTermes" w:hAnsi="TeXGyreTermes"/>
            <w:lang w:val="en-US"/>
          </w:rPr>
          <w:t>https://www.openfoam.com/documentation/user-guide/</w:t>
        </w:r>
      </w:hyperlink>
    </w:p>
    <w:p>
      <w:pPr>
        <w:pStyle w:val="ListParagraph"/>
        <w:numPr>
          <w:ilvl w:val="0"/>
          <w:numId w:val="2"/>
        </w:numPr>
        <w:jc w:val="both"/>
        <w:rPr/>
      </w:pPr>
      <w:bookmarkStart w:id="5" w:name="docs-internal-guid-382eb12a-7fff-7725-8068-4862a43b5464"/>
      <w:bookmarkEnd w:id="5"/>
      <w:r>
        <w:rPr>
          <w:rFonts w:ascii="TeXGyreTermes" w:hAnsi="TeXGyreTermes"/>
          <w:b w:val="false"/>
          <w:i w:val="false"/>
          <w:caps w:val="false"/>
          <w:smallCaps w:val="false"/>
          <w:strike w:val="false"/>
          <w:dstrike w:val="false"/>
          <w:color w:val="00000A"/>
          <w:sz w:val="22"/>
          <w:u w:val="none"/>
          <w:effect w:val="none"/>
          <w:lang w:val="en-US"/>
        </w:rPr>
        <w:t>Fiorina, C., Clifford, I.D., Aufiero, M., Mikityuk, K., 2015. "GeN-Foam: a novel OpenFOAM® based multi-physics solver for 2D/3D transient analysis of nuclear reactors," Nucl Eng Des 294, pp. 24-37.</w:t>
      </w:r>
    </w:p>
    <w:p>
      <w:pPr>
        <w:pStyle w:val="ListParagraph"/>
        <w:numPr>
          <w:ilvl w:val="0"/>
          <w:numId w:val="2"/>
        </w:numPr>
        <w:jc w:val="both"/>
        <w:rPr/>
      </w:pPr>
      <w:bookmarkStart w:id="6" w:name="docs-internal-guid-1e80ded5-7fff-b58b-1e4c-7273a97fd73e"/>
      <w:bookmarkEnd w:id="6"/>
      <w:r>
        <w:rPr>
          <w:rFonts w:ascii="TeXGyreTermes" w:hAnsi="TeXGyreTermes"/>
          <w:b w:val="false"/>
          <w:i w:val="false"/>
          <w:caps w:val="false"/>
          <w:smallCaps w:val="false"/>
          <w:strike w:val="false"/>
          <w:dstrike w:val="false"/>
          <w:color w:val="00000A"/>
          <w:sz w:val="22"/>
          <w:u w:val="none"/>
          <w:effect w:val="none"/>
          <w:lang w:val="fr-FR"/>
        </w:rPr>
        <w:t>Fiorina, C., Kerkar, N., Mikityuk, K., Rubiolo, P., Pautz, A., 2016. "Development and verification of the neutron diffusion solver for the GeN-Foam multi-physics platform,"  Annals of Nuclear Energy 96, 212-222.</w:t>
      </w:r>
    </w:p>
    <w:p>
      <w:pPr>
        <w:pStyle w:val="ListParagraph"/>
        <w:numPr>
          <w:ilvl w:val="0"/>
          <w:numId w:val="2"/>
        </w:numPr>
        <w:jc w:val="both"/>
        <w:rPr/>
      </w:pPr>
      <w:bookmarkStart w:id="7" w:name="docs-internal-guid-22c00167-7fff-3455-c675-e5c55e8ab383"/>
      <w:bookmarkEnd w:id="7"/>
      <w:r>
        <w:rPr>
          <w:rFonts w:ascii="TeXGyreTermes" w:hAnsi="TeXGyreTermes"/>
          <w:b w:val="false"/>
          <w:i w:val="false"/>
          <w:caps w:val="false"/>
          <w:smallCaps w:val="false"/>
          <w:strike w:val="false"/>
          <w:dstrike w:val="false"/>
          <w:color w:val="00000A"/>
          <w:sz w:val="22"/>
          <w:u w:val="none"/>
          <w:effect w:val="none"/>
          <w:lang w:val="fr-FR"/>
        </w:rPr>
        <w:t xml:space="preserve">Fiorina, C., Hursin, M., Pautz, A., 2017. "Extension of the GeN-Foam neutronic solver to SP3 analysis and application to the CROCUS experimental reactor," Annals of Nuclear Energy 101, 419-428. </w:t>
      </w:r>
    </w:p>
    <w:p>
      <w:pPr>
        <w:pStyle w:val="ListParagraph"/>
        <w:numPr>
          <w:ilvl w:val="0"/>
          <w:numId w:val="2"/>
        </w:numPr>
        <w:jc w:val="both"/>
        <w:rPr/>
      </w:pPr>
      <w:bookmarkStart w:id="8" w:name="docs-internal-guid-75f7e865-7fff-91e4-dfe2-0ee719ed5858"/>
      <w:bookmarkEnd w:id="8"/>
      <w:r>
        <w:rPr>
          <w:rFonts w:ascii="TeXGyreTermes" w:hAnsi="TeXGyreTermes"/>
          <w:b w:val="false"/>
          <w:i w:val="false"/>
          <w:caps w:val="false"/>
          <w:smallCaps w:val="false"/>
          <w:strike w:val="false"/>
          <w:dstrike w:val="false"/>
          <w:color w:val="00000A"/>
          <w:sz w:val="22"/>
          <w:u w:val="none"/>
          <w:effect w:val="none"/>
          <w:lang w:val="fr-FR"/>
        </w:rPr>
        <w:t>Fiorina, C., Mikityuk, K., 2015. Application of the new GeN-Foam multi-physics solver to the European Sodium Fast Reactor and verification against available codes. ICAPP 2015 Conference, May 03-06, Nice, France.</w:t>
      </w:r>
    </w:p>
    <w:p>
      <w:pPr>
        <w:pStyle w:val="ListParagraph"/>
        <w:numPr>
          <w:ilvl w:val="0"/>
          <w:numId w:val="2"/>
        </w:numPr>
        <w:jc w:val="both"/>
        <w:rPr/>
      </w:pPr>
      <w:bookmarkStart w:id="9" w:name="docs-internal-guid-2de829a2-7fff-c7db-a468-c302cfd704e5"/>
      <w:bookmarkEnd w:id="9"/>
      <w:r>
        <w:rPr>
          <w:rFonts w:ascii="TeXGyreTermes" w:hAnsi="TeXGyreTermes"/>
          <w:b w:val="false"/>
          <w:i w:val="false"/>
          <w:caps w:val="false"/>
          <w:smallCaps w:val="false"/>
          <w:strike w:val="false"/>
          <w:dstrike w:val="false"/>
          <w:color w:val="00000A"/>
          <w:sz w:val="22"/>
          <w:u w:val="none"/>
          <w:effect w:val="none"/>
          <w:lang w:val="fr-FR"/>
        </w:rPr>
        <w:t xml:space="preserve">Fiorina, C., Radman, S., Koc, M-Z, Pautz, A., 2019. Detailed Modelling of Expansion Reactivity Feedback in Fast Reactors Using OpenFOAM. M&amp;C2019, August 25-29, Portland, Oregon, US. </w:t>
      </w:r>
    </w:p>
    <w:p>
      <w:pPr>
        <w:pStyle w:val="ListParagraph"/>
        <w:numPr>
          <w:ilvl w:val="0"/>
          <w:numId w:val="2"/>
        </w:numPr>
        <w:jc w:val="both"/>
        <w:rPr/>
      </w:pPr>
      <w:r>
        <w:rPr>
          <w:rFonts w:ascii="TeXGyreTermes" w:hAnsi="TeXGyreTermes"/>
          <w:lang w:val="fr-FR"/>
        </w:rPr>
        <w:t xml:space="preserve">Fiorini, G.L., Vasile A., 2011. </w:t>
      </w:r>
      <w:r>
        <w:rPr>
          <w:rFonts w:ascii="TeXGyreTermes" w:hAnsi="TeXGyreTermes"/>
          <w:lang w:val="en-US"/>
        </w:rPr>
        <w:t>European Commission - 7th Framework Program, “The Collaborative Project on European Sodium Fast Reactor (CP-ESFR)”. Nuclear Engineering and Design 241, 3461-3469.</w:t>
      </w:r>
    </w:p>
    <w:p>
      <w:pPr>
        <w:pStyle w:val="ListParagraph"/>
        <w:numPr>
          <w:ilvl w:val="0"/>
          <w:numId w:val="2"/>
        </w:numPr>
        <w:jc w:val="both"/>
        <w:rPr/>
      </w:pPr>
      <w:r>
        <w:rPr>
          <w:rFonts w:ascii="TeXGyreTermes" w:hAnsi="TeXGyreTermes"/>
          <w:lang w:val="fr-FR"/>
        </w:rPr>
        <w:t xml:space="preserve"> </w:t>
      </w:r>
      <w:r>
        <w:rPr>
          <w:rFonts w:ascii="TeXGyreTermes" w:hAnsi="TeXGyreTermes"/>
          <w:lang w:val="fr-FR"/>
        </w:rPr>
        <w:t xml:space="preserve">Geuzaine, C., Remacle, J.-F., 2009. </w:t>
      </w:r>
      <w:r>
        <w:rPr>
          <w:rFonts w:ascii="TeXGyreTermes" w:hAnsi="TeXGyreTermes"/>
          <w:lang w:val="en-US"/>
        </w:rPr>
        <w:t>Gmsh: a three-dimensional finite element mesh generator with built-in pre- and post-processing facilities. International Journal for Numerical Methods in Engineering 79, 1309-1331.</w:t>
      </w:r>
    </w:p>
    <w:p>
      <w:pPr>
        <w:pStyle w:val="ListParagraph"/>
        <w:numPr>
          <w:ilvl w:val="0"/>
          <w:numId w:val="2"/>
        </w:numPr>
        <w:jc w:val="both"/>
        <w:rPr/>
      </w:pPr>
      <w:bookmarkStart w:id="10" w:name="docs-internal-guid-0bf5e26e-7fff-f355-78bf-39acc38fd528"/>
      <w:bookmarkEnd w:id="10"/>
      <w:r>
        <w:rPr>
          <w:rFonts w:ascii="TeXGyreTermes" w:hAnsi="TeXGyreTermes"/>
          <w:b w:val="false"/>
          <w:i w:val="false"/>
          <w:caps w:val="false"/>
          <w:smallCaps w:val="false"/>
          <w:strike w:val="false"/>
          <w:dstrike w:val="false"/>
          <w:color w:val="000000"/>
          <w:sz w:val="22"/>
          <w:u w:val="none"/>
          <w:effect w:val="none"/>
          <w:lang w:val="en-US"/>
        </w:rPr>
        <w:t xml:space="preserve"> </w:t>
      </w:r>
      <w:r>
        <w:rPr>
          <w:rFonts w:ascii="TeXGyreTermes" w:hAnsi="TeXGyreTermes"/>
          <w:b w:val="false"/>
          <w:i w:val="false"/>
          <w:caps w:val="false"/>
          <w:smallCaps w:val="false"/>
          <w:strike w:val="false"/>
          <w:dstrike w:val="false"/>
          <w:color w:val="000000"/>
          <w:sz w:val="22"/>
          <w:u w:val="none"/>
          <w:effect w:val="none"/>
          <w:lang w:val="en-US"/>
        </w:rPr>
        <w:t>Radman, S., Fiorina, C., Mikityuk, K., Pautz, A., 2018. “A Simplified Numerical Benchmark for Pool-Type Sodium Fast Reactors”. ICONE 26 Conference, July 22-28 London, UK.</w:t>
      </w:r>
    </w:p>
    <w:p>
      <w:pPr>
        <w:pStyle w:val="ListParagraph"/>
        <w:numPr>
          <w:ilvl w:val="0"/>
          <w:numId w:val="0"/>
        </w:numPr>
        <w:ind w:left="720" w:hanging="0"/>
        <w:jc w:val="both"/>
        <w:rPr>
          <w:rFonts w:ascii="TeXGyreTermes" w:hAnsi="TeXGyreTermes"/>
          <w:lang w:val="en-US"/>
        </w:rPr>
      </w:pPr>
      <w:r>
        <w:rPr/>
      </w:r>
    </w:p>
    <w:p>
      <w:pPr>
        <w:pStyle w:val="Normal"/>
        <w:jc w:val="both"/>
        <w:rPr>
          <w:rFonts w:ascii="TeXGyreTermes" w:hAnsi="TeXGyreTermes"/>
          <w:lang w:val="en-US"/>
        </w:rPr>
      </w:pPr>
      <w:r>
        <w:rPr>
          <w:rFonts w:ascii="TeXGyreTermes" w:hAnsi="TeXGyreTermes"/>
          <w:lang w:val="en-US"/>
        </w:rPr>
      </w:r>
    </w:p>
    <w:p>
      <w:pPr>
        <w:pStyle w:val="Normal"/>
        <w:spacing w:before="0" w:after="200"/>
        <w:jc w:val="both"/>
        <w:rPr>
          <w:rFonts w:ascii="TeXGyreTermes" w:hAnsi="TeXGyreTermes"/>
        </w:rPr>
      </w:pPr>
      <w:r>
        <w:rPr>
          <w:rFonts w:ascii="TeXGyreTermes" w:hAnsi="TeXGyreTermes"/>
        </w:rPr>
      </w:r>
    </w:p>
    <w:sectPr>
      <w:type w:val="nextPage"/>
      <w:pgSz w:w="11906" w:h="16838"/>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TeXGyreTermes">
    <w:charset w:val="01"/>
    <w:family w:val="auto"/>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30"/>
  <w:defaultTabStop w:val="708"/>
  <w:autoHyphenation w:val="fals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Cs w:val="22"/>
        <w:lang w:val="de-CH"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DejaVu Sans"/>
      <w:color w:val="00000A"/>
      <w:sz w:val="22"/>
      <w:szCs w:val="22"/>
      <w:lang w:val="de-CH" w:eastAsia="en-US" w:bidi="ar-SA"/>
    </w:rPr>
  </w:style>
  <w:style w:type="paragraph" w:styleId="Heading1">
    <w:name w:val="Heading 1"/>
    <w:basedOn w:val="Normal"/>
    <w:next w:val="Normal"/>
    <w:qFormat/>
    <w:pPr>
      <w:keepNext/>
      <w:keepLines/>
      <w:spacing w:before="480" w:after="0"/>
      <w:outlineLvl w:val="0"/>
    </w:pPr>
    <w:rPr>
      <w:rFonts w:ascii="Cambria" w:hAnsi="Cambria" w:eastAsia="SimSun"/>
      <w:b/>
      <w:bCs/>
      <w:color w:val="365F91"/>
      <w:sz w:val="28"/>
      <w:szCs w:val="28"/>
    </w:rPr>
  </w:style>
  <w:style w:type="paragraph" w:styleId="Heading2">
    <w:name w:val="Heading 2"/>
    <w:basedOn w:val="Normal"/>
    <w:next w:val="Normal"/>
    <w:qFormat/>
    <w:pPr>
      <w:keepNext/>
      <w:keepLines/>
      <w:spacing w:before="200" w:after="0"/>
      <w:outlineLvl w:val="1"/>
    </w:pPr>
    <w:rPr>
      <w:rFonts w:ascii="Cambria" w:hAnsi="Cambria" w:eastAsia="SimSun"/>
      <w:b/>
      <w:bCs/>
      <w:color w:val="4F81BD"/>
      <w:sz w:val="26"/>
      <w:szCs w:val="26"/>
    </w:rPr>
  </w:style>
  <w:style w:type="paragraph" w:styleId="Heading3">
    <w:name w:val="Heading 3"/>
    <w:basedOn w:val="Normal"/>
    <w:next w:val="Normal"/>
    <w:qFormat/>
    <w:pPr>
      <w:keepNext/>
      <w:keepLines/>
      <w:spacing w:before="200" w:after="0"/>
      <w:outlineLvl w:val="2"/>
    </w:pPr>
    <w:rPr>
      <w:rFonts w:ascii="Cambria" w:hAnsi="Cambria" w:eastAsia="SimSun"/>
      <w:b/>
      <w:bCs/>
      <w:color w:val="4F81BD"/>
    </w:rPr>
  </w:style>
  <w:style w:type="character" w:styleId="DefaultParagraphFont" w:default="1">
    <w:name w:val="Default Paragraph Font"/>
    <w:uiPriority w:val="1"/>
    <w:semiHidden/>
    <w:unhideWhenUsed/>
    <w:qFormat/>
    <w:rPr/>
  </w:style>
  <w:style w:type="character" w:styleId="InternetLink" w:customStyle="1">
    <w:name w:val="Internet Link"/>
    <w:basedOn w:val="DefaultParagraphFont"/>
    <w:rPr>
      <w:color w:val="0000FF"/>
      <w:u w:val="single"/>
    </w:rPr>
  </w:style>
  <w:style w:type="character" w:styleId="Heading1Char" w:customStyle="1">
    <w:name w:val="Heading 1 Char"/>
    <w:basedOn w:val="DefaultParagraphFont"/>
    <w:qFormat/>
    <w:rPr>
      <w:rFonts w:ascii="Cambria" w:hAnsi="Cambria" w:eastAsia="SimSun" w:cs="DejaVu Sans"/>
      <w:b/>
      <w:bCs/>
      <w:color w:val="365F91"/>
      <w:sz w:val="28"/>
      <w:szCs w:val="28"/>
    </w:rPr>
  </w:style>
  <w:style w:type="character" w:styleId="Heading2Char" w:customStyle="1">
    <w:name w:val="Heading 2 Char"/>
    <w:basedOn w:val="DefaultParagraphFont"/>
    <w:qFormat/>
    <w:rPr>
      <w:rFonts w:ascii="Cambria" w:hAnsi="Cambria" w:eastAsia="SimSun" w:cs="DejaVu Sans"/>
      <w:b/>
      <w:bCs/>
      <w:color w:val="4F81BD"/>
      <w:sz w:val="26"/>
      <w:szCs w:val="26"/>
    </w:rPr>
  </w:style>
  <w:style w:type="character" w:styleId="Heading3Char" w:customStyle="1">
    <w:name w:val="Heading 3 Char"/>
    <w:basedOn w:val="DefaultParagraphFont"/>
    <w:qFormat/>
    <w:rPr>
      <w:rFonts w:ascii="Cambria" w:hAnsi="Cambria" w:eastAsia="SimSun" w:cs="DejaVu Sans"/>
      <w:b/>
      <w:bCs/>
      <w:color w:val="4F81BD"/>
    </w:rPr>
  </w:style>
  <w:style w:type="character" w:styleId="TitleChar" w:customStyle="1">
    <w:name w:val="Title Char"/>
    <w:basedOn w:val="DefaultParagraphFont"/>
    <w:qFormat/>
    <w:rPr>
      <w:rFonts w:ascii="Cambria" w:hAnsi="Cambria" w:eastAsia="SimSun" w:cs="DejaVu Sans"/>
      <w:color w:val="17365D"/>
      <w:spacing w:val="5"/>
      <w:sz w:val="52"/>
      <w:szCs w:val="52"/>
    </w:rPr>
  </w:style>
  <w:style w:type="character" w:styleId="BodyTextIndentChar" w:customStyle="1">
    <w:name w:val="Body Text Indent Char"/>
    <w:basedOn w:val="DefaultParagraphFont"/>
    <w:qFormat/>
    <w:rPr>
      <w:rFonts w:ascii="Times New Roman" w:hAnsi="Times New Roman" w:eastAsia="Times New Roman" w:cs="Times New Roman"/>
      <w:sz w:val="20"/>
      <w:szCs w:val="20"/>
      <w:lang w:val="en-US"/>
    </w:rPr>
  </w:style>
  <w:style w:type="character" w:styleId="ListLabel1" w:customStyle="1">
    <w:name w:val="ListLabel 1"/>
    <w:qFormat/>
    <w:rPr>
      <w:rFonts w:cs="Courier New"/>
    </w:rPr>
  </w:style>
  <w:style w:type="character" w:styleId="ListLabel2" w:customStyle="1">
    <w:name w:val="ListLabel 2"/>
    <w:qFormat/>
    <w:rPr>
      <w:rFonts w:cs="Courier New"/>
    </w:rPr>
  </w:style>
  <w:style w:type="character" w:styleId="ListLabel3" w:customStyle="1">
    <w:name w:val="ListLabel 3"/>
    <w:qFormat/>
    <w:rPr>
      <w:rFonts w:cs="Courier New"/>
    </w:rPr>
  </w:style>
  <w:style w:type="character" w:styleId="ListLabel4" w:customStyle="1">
    <w:name w:val="ListLabel 4"/>
    <w:qFormat/>
    <w:rPr>
      <w:rFonts w:cs="Symbol"/>
    </w:rPr>
  </w:style>
  <w:style w:type="character" w:styleId="ListLabel5" w:customStyle="1">
    <w:name w:val="ListLabel 5"/>
    <w:qFormat/>
    <w:rPr>
      <w:rFonts w:cs="Courier New"/>
    </w:rPr>
  </w:style>
  <w:style w:type="character" w:styleId="ListLabel6" w:customStyle="1">
    <w:name w:val="ListLabel 6"/>
    <w:qFormat/>
    <w:rPr>
      <w:rFonts w:cs="Wingdings"/>
    </w:rPr>
  </w:style>
  <w:style w:type="character" w:styleId="ListLabel7" w:customStyle="1">
    <w:name w:val="ListLabel 7"/>
    <w:qFormat/>
    <w:rPr>
      <w:rFonts w:cs="Symbol"/>
    </w:rPr>
  </w:style>
  <w:style w:type="character" w:styleId="ListLabel8" w:customStyle="1">
    <w:name w:val="ListLabel 8"/>
    <w:qFormat/>
    <w:rPr>
      <w:rFonts w:cs="Courier New"/>
    </w:rPr>
  </w:style>
  <w:style w:type="character" w:styleId="ListLabel9" w:customStyle="1">
    <w:name w:val="ListLabel 9"/>
    <w:qFormat/>
    <w:rPr>
      <w:rFonts w:cs="Wingdings"/>
    </w:rPr>
  </w:style>
  <w:style w:type="character" w:styleId="ListLabel10" w:customStyle="1">
    <w:name w:val="ListLabel 10"/>
    <w:qFormat/>
    <w:rPr>
      <w:rFonts w:cs="Symbol"/>
    </w:rPr>
  </w:style>
  <w:style w:type="character" w:styleId="ListLabel11" w:customStyle="1">
    <w:name w:val="ListLabel 11"/>
    <w:qFormat/>
    <w:rPr>
      <w:rFonts w:cs="Courier New"/>
    </w:rPr>
  </w:style>
  <w:style w:type="character" w:styleId="ListLabel12" w:customStyle="1">
    <w:name w:val="ListLabel 12"/>
    <w:qFormat/>
    <w:rPr>
      <w:rFonts w:cs="Wingdings"/>
    </w:rPr>
  </w:style>
  <w:style w:type="character" w:styleId="ListLabel13" w:customStyle="1">
    <w:name w:val="ListLabel 13"/>
    <w:qFormat/>
    <w:rPr>
      <w:rFonts w:cs="Symbol"/>
    </w:rPr>
  </w:style>
  <w:style w:type="character" w:styleId="ListLabel14" w:customStyle="1">
    <w:name w:val="ListLabel 14"/>
    <w:qFormat/>
    <w:rPr>
      <w:rFonts w:cs="Courier New"/>
    </w:rPr>
  </w:style>
  <w:style w:type="character" w:styleId="ListLabel15" w:customStyle="1">
    <w:name w:val="ListLabel 15"/>
    <w:qFormat/>
    <w:rPr>
      <w:rFonts w:cs="Wingdings"/>
    </w:rPr>
  </w:style>
  <w:style w:type="character" w:styleId="ListLabel16" w:customStyle="1">
    <w:name w:val="ListLabel 16"/>
    <w:qFormat/>
    <w:rPr>
      <w:rFonts w:cs="Symbol"/>
    </w:rPr>
  </w:style>
  <w:style w:type="character" w:styleId="ListLabel17" w:customStyle="1">
    <w:name w:val="ListLabel 17"/>
    <w:qFormat/>
    <w:rPr>
      <w:rFonts w:cs="Courier New"/>
    </w:rPr>
  </w:style>
  <w:style w:type="character" w:styleId="ListLabel18" w:customStyle="1">
    <w:name w:val="ListLabel 18"/>
    <w:qFormat/>
    <w:rPr>
      <w:rFonts w:cs="Wingdings"/>
    </w:rPr>
  </w:style>
  <w:style w:type="character" w:styleId="ListLabel19" w:customStyle="1">
    <w:name w:val="ListLabel 19"/>
    <w:qFormat/>
    <w:rPr>
      <w:rFonts w:cs="Symbol"/>
    </w:rPr>
  </w:style>
  <w:style w:type="character" w:styleId="ListLabel20" w:customStyle="1">
    <w:name w:val="ListLabel 20"/>
    <w:qFormat/>
    <w:rPr>
      <w:rFonts w:cs="Courier New"/>
    </w:rPr>
  </w:style>
  <w:style w:type="character" w:styleId="ListLabel21" w:customStyle="1">
    <w:name w:val="ListLabel 21"/>
    <w:qFormat/>
    <w:rPr>
      <w:rFonts w:cs="Wingdings"/>
    </w:rPr>
  </w:style>
  <w:style w:type="character" w:styleId="ListLabel22" w:customStyle="1">
    <w:name w:val="ListLabel 22"/>
    <w:qFormat/>
    <w:rPr>
      <w:rFonts w:cs="Symbol"/>
    </w:rPr>
  </w:style>
  <w:style w:type="character" w:styleId="ListLabel23" w:customStyle="1">
    <w:name w:val="ListLabel 23"/>
    <w:qFormat/>
    <w:rPr>
      <w:rFonts w:cs="Courier New"/>
    </w:rPr>
  </w:style>
  <w:style w:type="character" w:styleId="ListLabel24" w:customStyle="1">
    <w:name w:val="ListLabel 24"/>
    <w:qFormat/>
    <w:rPr>
      <w:rFonts w:cs="Wingdings"/>
    </w:rPr>
  </w:style>
  <w:style w:type="character" w:styleId="ListLabel25" w:customStyle="1">
    <w:name w:val="ListLabel 25"/>
    <w:qFormat/>
    <w:rPr>
      <w:rFonts w:cs="Symbol"/>
    </w:rPr>
  </w:style>
  <w:style w:type="character" w:styleId="ListLabel26" w:customStyle="1">
    <w:name w:val="ListLabel 26"/>
    <w:qFormat/>
    <w:rPr>
      <w:rFonts w:cs="Courier New"/>
    </w:rPr>
  </w:style>
  <w:style w:type="character" w:styleId="ListLabel27" w:customStyle="1">
    <w:name w:val="ListLabel 27"/>
    <w:qFormat/>
    <w:rPr>
      <w:rFonts w:cs="Wingdings"/>
    </w:rPr>
  </w:style>
  <w:style w:type="character" w:styleId="ListLabel28" w:customStyle="1">
    <w:name w:val="ListLabel 28"/>
    <w:qFormat/>
    <w:rPr>
      <w:rFonts w:cs="Symbol"/>
    </w:rPr>
  </w:style>
  <w:style w:type="character" w:styleId="ListLabel29" w:customStyle="1">
    <w:name w:val="ListLabel 29"/>
    <w:qFormat/>
    <w:rPr>
      <w:rFonts w:cs="Courier New"/>
    </w:rPr>
  </w:style>
  <w:style w:type="character" w:styleId="ListLabel30" w:customStyle="1">
    <w:name w:val="ListLabel 30"/>
    <w:qFormat/>
    <w:rPr>
      <w:rFonts w:cs="Wingdings"/>
    </w:rPr>
  </w:style>
  <w:style w:type="character" w:styleId="ListLabel31" w:customStyle="1">
    <w:name w:val="ListLabel 31"/>
    <w:qFormat/>
    <w:rPr>
      <w:rFonts w:cs="Symbol"/>
    </w:rPr>
  </w:style>
  <w:style w:type="character" w:styleId="ListLabel32" w:customStyle="1">
    <w:name w:val="ListLabel 32"/>
    <w:qFormat/>
    <w:rPr>
      <w:rFonts w:cs="Courier New"/>
    </w:rPr>
  </w:style>
  <w:style w:type="character" w:styleId="ListLabel33" w:customStyle="1">
    <w:name w:val="ListLabel 33"/>
    <w:qFormat/>
    <w:rPr>
      <w:rFonts w:cs="Wingdings"/>
    </w:rPr>
  </w:style>
  <w:style w:type="character" w:styleId="ListLabel34" w:customStyle="1">
    <w:name w:val="ListLabel 34"/>
    <w:qFormat/>
    <w:rPr>
      <w:rFonts w:cs="Symbol"/>
    </w:rPr>
  </w:style>
  <w:style w:type="character" w:styleId="ListLabel35" w:customStyle="1">
    <w:name w:val="ListLabel 35"/>
    <w:qFormat/>
    <w:rPr>
      <w:rFonts w:cs="Courier New"/>
    </w:rPr>
  </w:style>
  <w:style w:type="character" w:styleId="ListLabel36" w:customStyle="1">
    <w:name w:val="ListLabel 36"/>
    <w:qFormat/>
    <w:rPr>
      <w:rFonts w:cs="Wingdings"/>
    </w:rPr>
  </w:style>
  <w:style w:type="character" w:styleId="ListLabel37" w:customStyle="1">
    <w:name w:val="ListLabel 37"/>
    <w:qFormat/>
    <w:rPr>
      <w:rFonts w:cs="Symbol"/>
    </w:rPr>
  </w:style>
  <w:style w:type="character" w:styleId="ListLabel38" w:customStyle="1">
    <w:name w:val="ListLabel 38"/>
    <w:qFormat/>
    <w:rPr>
      <w:rFonts w:cs="Courier New"/>
    </w:rPr>
  </w:style>
  <w:style w:type="character" w:styleId="ListLabel39" w:customStyle="1">
    <w:name w:val="ListLabel 39"/>
    <w:qFormat/>
    <w:rPr>
      <w:rFonts w:cs="Wingdings"/>
    </w:rPr>
  </w:style>
  <w:style w:type="character" w:styleId="ListLabel40" w:customStyle="1">
    <w:name w:val="ListLabel 40"/>
    <w:qFormat/>
    <w:rPr>
      <w:rFonts w:cs="Symbol"/>
    </w:rPr>
  </w:style>
  <w:style w:type="character" w:styleId="ListLabel41" w:customStyle="1">
    <w:name w:val="ListLabel 41"/>
    <w:qFormat/>
    <w:rPr>
      <w:rFonts w:cs="Courier New"/>
    </w:rPr>
  </w:style>
  <w:style w:type="character" w:styleId="ListLabel42" w:customStyle="1">
    <w:name w:val="ListLabel 42"/>
    <w:qFormat/>
    <w:rPr>
      <w:rFonts w:cs="Wingdings"/>
    </w:rPr>
  </w:style>
  <w:style w:type="character" w:styleId="ListLabel43" w:customStyle="1">
    <w:name w:val="ListLabel 43"/>
    <w:qFormat/>
    <w:rPr>
      <w:rFonts w:cs="Symbol"/>
    </w:rPr>
  </w:style>
  <w:style w:type="character" w:styleId="ListLabel44" w:customStyle="1">
    <w:name w:val="ListLabel 44"/>
    <w:qFormat/>
    <w:rPr>
      <w:rFonts w:cs="Courier New"/>
    </w:rPr>
  </w:style>
  <w:style w:type="character" w:styleId="ListLabel45" w:customStyle="1">
    <w:name w:val="ListLabel 45"/>
    <w:qFormat/>
    <w:rPr>
      <w:rFonts w:cs="Wingdings"/>
    </w:rPr>
  </w:style>
  <w:style w:type="character" w:styleId="ListLabel46" w:customStyle="1">
    <w:name w:val="ListLabel 46"/>
    <w:qFormat/>
    <w:rPr>
      <w:rFonts w:cs="Symbol"/>
    </w:rPr>
  </w:style>
  <w:style w:type="character" w:styleId="ListLabel47" w:customStyle="1">
    <w:name w:val="ListLabel 47"/>
    <w:qFormat/>
    <w:rPr>
      <w:rFonts w:cs="Courier New"/>
    </w:rPr>
  </w:style>
  <w:style w:type="character" w:styleId="ListLabel48" w:customStyle="1">
    <w:name w:val="ListLabel 48"/>
    <w:qFormat/>
    <w:rPr>
      <w:rFonts w:cs="Wingdings"/>
    </w:rPr>
  </w:style>
  <w:style w:type="character" w:styleId="ListLabel49" w:customStyle="1">
    <w:name w:val="ListLabel 49"/>
    <w:qFormat/>
    <w:rPr>
      <w:rFonts w:cs="Symbol"/>
    </w:rPr>
  </w:style>
  <w:style w:type="character" w:styleId="ListLabel50" w:customStyle="1">
    <w:name w:val="ListLabel 50"/>
    <w:qFormat/>
    <w:rPr>
      <w:rFonts w:cs="Courier New"/>
    </w:rPr>
  </w:style>
  <w:style w:type="character" w:styleId="ListLabel51" w:customStyle="1">
    <w:name w:val="ListLabel 51"/>
    <w:qFormat/>
    <w:rPr>
      <w:rFonts w:cs="Wingdings"/>
    </w:rPr>
  </w:style>
  <w:style w:type="character" w:styleId="ListLabel52" w:customStyle="1">
    <w:name w:val="ListLabel 52"/>
    <w:qFormat/>
    <w:rPr>
      <w:rFonts w:cs="Symbol"/>
    </w:rPr>
  </w:style>
  <w:style w:type="character" w:styleId="ListLabel53" w:customStyle="1">
    <w:name w:val="ListLabel 53"/>
    <w:qFormat/>
    <w:rPr>
      <w:rFonts w:cs="Courier New"/>
    </w:rPr>
  </w:style>
  <w:style w:type="character" w:styleId="ListLabel54" w:customStyle="1">
    <w:name w:val="ListLabel 54"/>
    <w:qFormat/>
    <w:rPr>
      <w:rFonts w:cs="Wingdings"/>
    </w:rPr>
  </w:style>
  <w:style w:type="character" w:styleId="ListLabel55" w:customStyle="1">
    <w:name w:val="ListLabel 55"/>
    <w:qFormat/>
    <w:rPr>
      <w:rFonts w:cs="Symbol"/>
    </w:rPr>
  </w:style>
  <w:style w:type="character" w:styleId="ListLabel56" w:customStyle="1">
    <w:name w:val="ListLabel 56"/>
    <w:qFormat/>
    <w:rPr>
      <w:rFonts w:cs="Courier New"/>
    </w:rPr>
  </w:style>
  <w:style w:type="character" w:styleId="ListLabel57" w:customStyle="1">
    <w:name w:val="ListLabel 57"/>
    <w:qFormat/>
    <w:rPr>
      <w:rFonts w:cs="Wingdings"/>
    </w:rPr>
  </w:style>
  <w:style w:type="character" w:styleId="ListLabel58" w:customStyle="1">
    <w:name w:val="ListLabel 58"/>
    <w:qFormat/>
    <w:rPr>
      <w:rFonts w:cs="Symbol"/>
    </w:rPr>
  </w:style>
  <w:style w:type="character" w:styleId="ListLabel59" w:customStyle="1">
    <w:name w:val="ListLabel 59"/>
    <w:qFormat/>
    <w:rPr>
      <w:rFonts w:cs="Courier New"/>
    </w:rPr>
  </w:style>
  <w:style w:type="character" w:styleId="ListLabel60" w:customStyle="1">
    <w:name w:val="ListLabel 60"/>
    <w:qFormat/>
    <w:rPr>
      <w:rFonts w:cs="Wingdings"/>
    </w:rPr>
  </w:style>
  <w:style w:type="character" w:styleId="ListLabel61" w:customStyle="1">
    <w:name w:val="ListLabel 61"/>
    <w:qFormat/>
    <w:rPr>
      <w:rFonts w:cs="Symbol"/>
    </w:rPr>
  </w:style>
  <w:style w:type="character" w:styleId="ListLabel62" w:customStyle="1">
    <w:name w:val="ListLabel 62"/>
    <w:qFormat/>
    <w:rPr>
      <w:rFonts w:cs="Courier New"/>
    </w:rPr>
  </w:style>
  <w:style w:type="character" w:styleId="ListLabel63" w:customStyle="1">
    <w:name w:val="ListLabel 63"/>
    <w:qFormat/>
    <w:rPr>
      <w:rFonts w:cs="Wingdings"/>
    </w:rPr>
  </w:style>
  <w:style w:type="character" w:styleId="ListLabel64" w:customStyle="1">
    <w:name w:val="ListLabel 64"/>
    <w:qFormat/>
    <w:rPr>
      <w:rFonts w:cs="Symbol"/>
    </w:rPr>
  </w:style>
  <w:style w:type="character" w:styleId="ListLabel65" w:customStyle="1">
    <w:name w:val="ListLabel 65"/>
    <w:qFormat/>
    <w:rPr>
      <w:rFonts w:cs="Courier New"/>
    </w:rPr>
  </w:style>
  <w:style w:type="character" w:styleId="ListLabel66" w:customStyle="1">
    <w:name w:val="ListLabel 66"/>
    <w:qFormat/>
    <w:rPr>
      <w:rFonts w:cs="Wingdings"/>
    </w:rPr>
  </w:style>
  <w:style w:type="character" w:styleId="ListLabel67" w:customStyle="1">
    <w:name w:val="ListLabel 67"/>
    <w:qFormat/>
    <w:rPr>
      <w:rFonts w:cs="Symbol"/>
    </w:rPr>
  </w:style>
  <w:style w:type="character" w:styleId="ListLabel68" w:customStyle="1">
    <w:name w:val="ListLabel 68"/>
    <w:qFormat/>
    <w:rPr>
      <w:rFonts w:cs="Courier New"/>
    </w:rPr>
  </w:style>
  <w:style w:type="character" w:styleId="ListLabel69" w:customStyle="1">
    <w:name w:val="ListLabel 69"/>
    <w:qFormat/>
    <w:rPr>
      <w:rFonts w:cs="Wingdings"/>
    </w:rPr>
  </w:style>
  <w:style w:type="character" w:styleId="ListLabel70">
    <w:name w:val="ListLabel 70"/>
    <w:qFormat/>
    <w:rPr>
      <w:rFonts w:cs="Symbol"/>
    </w:rPr>
  </w:style>
  <w:style w:type="character" w:styleId="ListLabel71">
    <w:name w:val="ListLabel 71"/>
    <w:qFormat/>
    <w:rPr>
      <w:rFonts w:cs="Courier New"/>
    </w:rPr>
  </w:style>
  <w:style w:type="character" w:styleId="ListLabel72">
    <w:name w:val="ListLabel 72"/>
    <w:qFormat/>
    <w:rPr>
      <w:rFonts w:cs="Wingdings"/>
    </w:rPr>
  </w:style>
  <w:style w:type="character" w:styleId="ListLabel73">
    <w:name w:val="ListLabel 73"/>
    <w:qFormat/>
    <w:rPr>
      <w:rFonts w:cs="Symbol"/>
    </w:rPr>
  </w:style>
  <w:style w:type="character" w:styleId="ListLabel74">
    <w:name w:val="ListLabel 74"/>
    <w:qFormat/>
    <w:rPr>
      <w:rFonts w:cs="Courier New"/>
    </w:rPr>
  </w:style>
  <w:style w:type="character" w:styleId="ListLabel75">
    <w:name w:val="ListLabel 75"/>
    <w:qFormat/>
    <w:rPr>
      <w:rFonts w:cs="Wingdings"/>
    </w:rPr>
  </w:style>
  <w:style w:type="character" w:styleId="ListLabel76">
    <w:name w:val="ListLabel 76"/>
    <w:qFormat/>
    <w:rPr>
      <w:rFonts w:cs="Symbol"/>
    </w:rPr>
  </w:style>
  <w:style w:type="character" w:styleId="ListLabel77">
    <w:name w:val="ListLabel 77"/>
    <w:qFormat/>
    <w:rPr>
      <w:rFonts w:cs="Courier New"/>
    </w:rPr>
  </w:style>
  <w:style w:type="character" w:styleId="ListLabel78">
    <w:name w:val="ListLabel 78"/>
    <w:qFormat/>
    <w:rPr>
      <w:rFonts w:cs="Wingdings"/>
    </w:rPr>
  </w:style>
  <w:style w:type="character" w:styleId="ListLabel79">
    <w:name w:val="ListLabel 79"/>
    <w:qFormat/>
    <w:rPr>
      <w:rFonts w:cs="Symbol"/>
    </w:rPr>
  </w:style>
  <w:style w:type="character" w:styleId="ListLabel80">
    <w:name w:val="ListLabel 80"/>
    <w:qFormat/>
    <w:rPr>
      <w:rFonts w:cs="Courier New"/>
    </w:rPr>
  </w:style>
  <w:style w:type="character" w:styleId="ListLabel81">
    <w:name w:val="ListLabel 81"/>
    <w:qFormat/>
    <w:rPr>
      <w:rFonts w:cs="Wingdings"/>
    </w:rPr>
  </w:style>
  <w:style w:type="character" w:styleId="ListLabel82">
    <w:name w:val="ListLabel 82"/>
    <w:qFormat/>
    <w:rPr>
      <w:rFonts w:cs="Symbol"/>
    </w:rPr>
  </w:style>
  <w:style w:type="character" w:styleId="ListLabel83">
    <w:name w:val="ListLabel 83"/>
    <w:qFormat/>
    <w:rPr>
      <w:rFonts w:cs="Courier New"/>
    </w:rPr>
  </w:style>
  <w:style w:type="character" w:styleId="ListLabel84">
    <w:name w:val="ListLabel 84"/>
    <w:qFormat/>
    <w:rPr>
      <w:rFonts w:cs="Wingdings"/>
    </w:rPr>
  </w:style>
  <w:style w:type="character" w:styleId="ListLabel85">
    <w:name w:val="ListLabel 85"/>
    <w:qFormat/>
    <w:rPr>
      <w:rFonts w:cs="Symbol"/>
    </w:rPr>
  </w:style>
  <w:style w:type="character" w:styleId="ListLabel86">
    <w:name w:val="ListLabel 86"/>
    <w:qFormat/>
    <w:rPr>
      <w:rFonts w:cs="Courier New"/>
    </w:rPr>
  </w:style>
  <w:style w:type="character" w:styleId="ListLabel87">
    <w:name w:val="ListLabel 87"/>
    <w:qFormat/>
    <w:rPr>
      <w:rFonts w:cs="Wingding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customStyle="1">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customStyle="1">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qFormat/>
    <w:pPr>
      <w:suppressLineNumbers/>
      <w:spacing w:before="120" w:after="120"/>
    </w:pPr>
    <w:rPr>
      <w:rFonts w:cs="FreeSans"/>
      <w:i/>
      <w:iCs/>
      <w:sz w:val="24"/>
      <w:szCs w:val="24"/>
    </w:rPr>
  </w:style>
  <w:style w:type="paragraph" w:styleId="ListParagraph">
    <w:name w:val="List Paragraph"/>
    <w:basedOn w:val="Normal"/>
    <w:qFormat/>
    <w:pPr>
      <w:spacing w:before="0" w:after="200"/>
      <w:ind w:left="720" w:hanging="0"/>
      <w:contextualSpacing/>
    </w:pPr>
    <w:rPr/>
  </w:style>
  <w:style w:type="paragraph" w:styleId="Title">
    <w:name w:val="Title"/>
    <w:basedOn w:val="Normal"/>
    <w:next w:val="Normal"/>
    <w:qFormat/>
    <w:pPr>
      <w:pBdr>
        <w:bottom w:val="single" w:sz="8" w:space="4" w:color="4F81BD"/>
      </w:pBdr>
      <w:spacing w:lineRule="auto" w:line="240" w:before="0" w:after="300"/>
      <w:contextualSpacing/>
    </w:pPr>
    <w:rPr>
      <w:rFonts w:ascii="Cambria" w:hAnsi="Cambria" w:eastAsia="SimSun"/>
      <w:color w:val="17365D"/>
      <w:spacing w:val="5"/>
      <w:sz w:val="52"/>
      <w:szCs w:val="52"/>
    </w:rPr>
  </w:style>
  <w:style w:type="paragraph" w:styleId="TextBodyIndent" w:customStyle="1">
    <w:name w:val="Body Text Indent"/>
    <w:basedOn w:val="Normal"/>
    <w:pPr>
      <w:spacing w:lineRule="auto" w:line="240" w:before="0" w:after="0"/>
      <w:ind w:firstLine="360"/>
      <w:jc w:val="both"/>
    </w:pPr>
    <w:rPr>
      <w:rFonts w:ascii="Times New Roman" w:hAnsi="Times New Roman" w:eastAsia="Times New Roman" w:cs="Times New Roman"/>
      <w:sz w:val="20"/>
      <w:szCs w:val="20"/>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geuz.org/gmsh/" TargetMode="External"/><Relationship Id="rId3" Type="http://schemas.openxmlformats.org/officeDocument/2006/relationships/hyperlink" Target="https://www.openfoam.com/" TargetMode="External"/><Relationship Id="rId4" Type="http://schemas.openxmlformats.org/officeDocument/2006/relationships/hyperlink" Target="https://www.openfoam.com/documentation/user-guide/"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10165</TotalTime>
  <Application>LibreOffice/5.1.6.2$Linux_X86_64 LibreOffice_project/10m0$Build-2</Application>
  <Pages>7</Pages>
  <Words>2224</Words>
  <Characters>12679</Characters>
  <CharactersWithSpaces>14862</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2015-01-14T12:50:00Z</dcterms:created>
  <dc:creator>Fiorina Carlo</dc:creator>
  <dc:description/>
  <dc:language>en-US</dc:language>
  <cp:lastModifiedBy/>
  <dcterms:modified xsi:type="dcterms:W3CDTF">2019-07-29T14:28:51Z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