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JetBrains Mono" w:hAnsi="JetBrains Mono" w:cs="JetBrains Mono" w:eastAsia="JetBrains Mono"/>
          <w:b w:val="0"/>
          <w:i w:val="0"/>
          <w:color w:val="666666"/>
          <w:sz w:val="20"/>
        </w:rPr>
        <w:t>APPLIED MATHEMATICS  //  FINANCE</w:t>
      </w:r>
    </w:p>
    <w:p>
      <w:pPr>
        <w:spacing w:after="120"/>
        <w:jc w:val="center"/>
      </w:pPr>
      <w:r>
        <w:rPr>
          <w:rFonts w:ascii="JetBrains Mono" w:hAnsi="JetBrains Mono" w:cs="JetBrains Mono" w:eastAsia="JetBrains Mono"/>
          <w:b/>
          <w:i w:val="0"/>
          <w:color w:val="ED1C24"/>
          <w:sz w:val="22"/>
        </w:rPr>
        <w:t>MIDTERM PROJECT — CREDIT RISK MODELING</w:t>
      </w:r>
    </w:p>
    <w:p>
      <w:pPr>
        <w:spacing w:before="120" w:after="40"/>
        <w:jc w:val="center"/>
      </w:pPr>
      <w:r>
        <w:drawing>
          <wp:inline xmlns:a="http://schemas.openxmlformats.org/drawingml/2006/main" xmlns:pic="http://schemas.openxmlformats.org/drawingml/2006/picture">
            <wp:extent cx="5400000" cy="7180220"/>
            <wp:docPr id="1" name="Picture 1"/>
            <wp:cNvGraphicFramePr>
              <a:graphicFrameLocks noChangeAspect="1"/>
            </wp:cNvGraphicFramePr>
            <a:graphic>
              <a:graphicData uri="http://schemas.openxmlformats.org/drawingml/2006/picture">
                <pic:pic>
                  <pic:nvPicPr>
                    <pic:cNvPr id="0" name="report_cover.png"/>
                    <pic:cNvPicPr/>
                  </pic:nvPicPr>
                  <pic:blipFill>
                    <a:blip r:embed="rId9"/>
                    <a:stretch>
                      <a:fillRect/>
                    </a:stretch>
                  </pic:blipFill>
                  <pic:spPr>
                    <a:xfrm>
                      <a:off x="0" y="0"/>
                      <a:ext cx="5400000" cy="7180220"/>
                    </a:xfrm>
                    <a:prstGeom prst="rect"/>
                  </pic:spPr>
                </pic:pic>
              </a:graphicData>
            </a:graphic>
          </wp:inline>
        </w:drawing>
      </w:r>
    </w:p>
    <w:p>
      <w:pPr>
        <w:spacing w:before="400"/>
        <w:jc w:val="center"/>
      </w:pPr>
      <w:r>
        <w:rPr>
          <w:rFonts w:ascii="JetBrains Mono" w:hAnsi="JetBrains Mono" w:cs="JetBrains Mono" w:eastAsia="JetBrains Mono"/>
          <w:b/>
          <w:i w:val="0"/>
          <w:color w:val="0F0F0F"/>
          <w:sz w:val="52"/>
        </w:rPr>
        <w:t>CREDIT RISK SCORING</w:t>
      </w:r>
    </w:p>
    <w:p>
      <w:pPr>
        <w:spacing w:after="400"/>
        <w:jc w:val="center"/>
      </w:pPr>
      <w:r>
        <w:rPr>
          <w:rFonts w:ascii="Times New Roman" w:hAnsi="Times New Roman" w:cs="Times New Roman" w:eastAsia="Times New Roman"/>
          <w:b w:val="0"/>
          <w:i/>
          <w:color w:val="666666"/>
          <w:sz w:val="28"/>
        </w:rPr>
        <w:t>Probability of Default on the Home-Credit dataset</w:t>
      </w:r>
    </w:p>
    <w:tbl>
      <w:tblPr>
        <w:tblW w:type="auto" w:w="0"/>
        <w:jc w:val="center"/>
        <w:tblLayout w:type="fixed"/>
        <w:tblLook w:firstColumn="1" w:firstRow="1" w:lastColumn="0" w:lastRow="0" w:noHBand="0" w:noVBand="1" w:val="04A0"/>
      </w:tblPr>
      <w:tblGrid>
        <w:gridCol w:w="3024"/>
        <w:gridCol w:w="3024"/>
        <w:gridCol w:w="3024"/>
      </w:tblGrid>
      <w:tr>
        <w:tc>
          <w:tcPr>
            <w:tcW w:type="dxa" w:w="2551"/>
          </w:tcPr>
          <w:p>
            <w:pPr>
              <w:spacing w:after="0"/>
              <w:jc w:val="center"/>
            </w:pPr>
            <w:r/>
            <w:r>
              <w:rPr>
                <w:rFonts w:ascii="JetBrains Mono" w:hAnsi="JetBrains Mono" w:cs="JetBrains Mono" w:eastAsia="JetBrains Mono"/>
                <w:b/>
                <w:i w:val="0"/>
                <w:color w:val="ED1C24"/>
                <w:sz w:val="16"/>
              </w:rPr>
              <w:t>STUDENT</w:t>
            </w:r>
          </w:p>
          <w:p>
            <w:pPr>
              <w:spacing w:after="0"/>
              <w:jc w:val="center"/>
            </w:pPr>
            <w:r>
              <w:rPr>
                <w:rFonts w:ascii="Times New Roman" w:hAnsi="Times New Roman" w:cs="Times New Roman" w:eastAsia="Times New Roman"/>
                <w:b/>
                <w:i w:val="0"/>
                <w:color w:val="0F0F0F"/>
                <w:sz w:val="22"/>
              </w:rPr>
              <w:t>Phat</w:t>
            </w:r>
          </w:p>
        </w:tc>
        <w:tc>
          <w:tcPr>
            <w:tcW w:type="dxa" w:w="3118"/>
          </w:tcPr>
          <w:p>
            <w:pPr>
              <w:spacing w:after="0"/>
              <w:jc w:val="center"/>
            </w:pPr>
            <w:r/>
            <w:r>
              <w:rPr>
                <w:rFonts w:ascii="JetBrains Mono" w:hAnsi="JetBrains Mono" w:cs="JetBrains Mono" w:eastAsia="JetBrains Mono"/>
                <w:b/>
                <w:i w:val="0"/>
                <w:color w:val="ED1C24"/>
                <w:sz w:val="16"/>
              </w:rPr>
              <w:t>DATE</w:t>
            </w:r>
          </w:p>
          <w:p>
            <w:pPr>
              <w:spacing w:after="0"/>
              <w:jc w:val="center"/>
            </w:pPr>
            <w:r>
              <w:rPr>
                <w:rFonts w:ascii="Times New Roman" w:hAnsi="Times New Roman" w:cs="Times New Roman" w:eastAsia="Times New Roman"/>
                <w:b/>
                <w:i w:val="0"/>
                <w:color w:val="0F0F0F"/>
                <w:sz w:val="22"/>
              </w:rPr>
              <w:t>October 2026</w:t>
            </w:r>
          </w:p>
        </w:tc>
        <w:tc>
          <w:tcPr>
            <w:tcW w:type="dxa" w:w="3118"/>
          </w:tcPr>
          <w:p>
            <w:pPr>
              <w:spacing w:after="0"/>
              <w:jc w:val="center"/>
            </w:pPr>
            <w:r/>
            <w:r>
              <w:rPr>
                <w:rFonts w:ascii="JetBrains Mono" w:hAnsi="JetBrains Mono" w:cs="JetBrains Mono" w:eastAsia="JetBrains Mono"/>
                <w:b/>
                <w:i w:val="0"/>
                <w:color w:val="ED1C24"/>
                <w:sz w:val="16"/>
              </w:rPr>
              <w:t>STACK</w:t>
            </w:r>
          </w:p>
          <w:p>
            <w:pPr>
              <w:spacing w:after="0"/>
              <w:jc w:val="center"/>
            </w:pPr>
            <w:r>
              <w:rPr>
                <w:rFonts w:ascii="Times New Roman" w:hAnsi="Times New Roman" w:cs="Times New Roman" w:eastAsia="Times New Roman"/>
                <w:b/>
                <w:i w:val="0"/>
                <w:color w:val="0F0F0F"/>
                <w:sz w:val="22"/>
              </w:rPr>
              <w:t>Python · LightGBM · Streamlit</w:t>
            </w:r>
          </w:p>
        </w:tc>
      </w:tr>
      <w:tr>
        <w:tc>
          <w:tcPr>
            <w:tcW w:type="dxa" w:w="2551"/>
          </w:tcPr>
          <w:p>
            <w:pPr>
              <w:spacing w:after="0"/>
              <w:jc w:val="center"/>
            </w:pPr>
            <w:r/>
            <w:r>
              <w:rPr>
                <w:rFonts w:ascii="JetBrains Mono" w:hAnsi="JetBrains Mono" w:cs="JetBrains Mono" w:eastAsia="JetBrains Mono"/>
                <w:b/>
                <w:i w:val="0"/>
                <w:color w:val="ED1C24"/>
                <w:sz w:val="16"/>
              </w:rPr>
              <w:t>PROGRAM</w:t>
            </w:r>
          </w:p>
          <w:p>
            <w:pPr>
              <w:spacing w:after="0"/>
              <w:jc w:val="center"/>
            </w:pPr>
            <w:r>
              <w:rPr>
                <w:rFonts w:ascii="Times New Roman" w:hAnsi="Times New Roman" w:cs="Times New Roman" w:eastAsia="Times New Roman"/>
                <w:b/>
                <w:i w:val="0"/>
                <w:color w:val="0F0F0F"/>
                <w:sz w:val="22"/>
              </w:rPr>
              <w:t>Applied Mathematics + Finance</w:t>
            </w:r>
          </w:p>
        </w:tc>
        <w:tc>
          <w:tcPr>
            <w:tcW w:type="dxa" w:w="3118"/>
          </w:tcPr>
          <w:p>
            <w:pPr>
              <w:spacing w:after="0"/>
              <w:jc w:val="center"/>
            </w:pPr>
            <w:r/>
            <w:r>
              <w:rPr>
                <w:rFonts w:ascii="JetBrains Mono" w:hAnsi="JetBrains Mono" w:cs="JetBrains Mono" w:eastAsia="JetBrains Mono"/>
                <w:b/>
                <w:i w:val="0"/>
                <w:color w:val="ED1C24"/>
                <w:sz w:val="16"/>
              </w:rPr>
              <w:t>COURSE</w:t>
            </w:r>
          </w:p>
          <w:p>
            <w:pPr>
              <w:spacing w:after="0"/>
              <w:jc w:val="center"/>
            </w:pPr>
            <w:r>
              <w:rPr>
                <w:rFonts w:ascii="Times New Roman" w:hAnsi="Times New Roman" w:cs="Times New Roman" w:eastAsia="Times New Roman"/>
                <w:b/>
                <w:i w:val="0"/>
                <w:color w:val="0F0F0F"/>
                <w:sz w:val="22"/>
              </w:rPr>
              <w:t>Midterm Project</w:t>
            </w:r>
          </w:p>
        </w:tc>
        <w:tc>
          <w:tcPr>
            <w:tcW w:type="dxa" w:w="3118"/>
          </w:tcPr>
          <w:p>
            <w:pPr>
              <w:spacing w:after="0"/>
              <w:jc w:val="center"/>
            </w:pPr>
            <w:r/>
            <w:r>
              <w:rPr>
                <w:rFonts w:ascii="JetBrains Mono" w:hAnsi="JetBrains Mono" w:cs="JetBrains Mono" w:eastAsia="JetBrains Mono"/>
                <w:b/>
                <w:i w:val="0"/>
                <w:color w:val="ED1C24"/>
                <w:sz w:val="16"/>
              </w:rPr>
              <w:t>FOCUS</w:t>
            </w:r>
          </w:p>
          <w:p>
            <w:pPr>
              <w:spacing w:after="0"/>
              <w:jc w:val="center"/>
            </w:pPr>
            <w:r>
              <w:rPr>
                <w:rFonts w:ascii="Times New Roman" w:hAnsi="Times New Roman" w:cs="Times New Roman" w:eastAsia="Times New Roman"/>
                <w:b/>
                <w:i w:val="0"/>
                <w:color w:val="0F0F0F"/>
                <w:sz w:val="22"/>
              </w:rPr>
              <w:t>Credit Risk &amp; PD Modeling</w:t>
            </w:r>
          </w:p>
        </w:tc>
      </w:tr>
    </w:tbl>
    <w:p>
      <w:r>
        <w:br w:type="page"/>
      </w:r>
    </w:p>
    <w:p>
      <w:r>
        <w:br w:type="page"/>
      </w:r>
    </w:p>
    <w:p>
      <w:pPr>
        <w:pageBreakBefore w:val="0"/>
        <w:spacing w:before="240" w:after="360"/>
        <w:jc w:val="center"/>
      </w:pPr>
      <w:r>
        <w:rPr>
          <w:rFonts w:ascii="JetBrains Mono" w:hAnsi="JetBrains Mono" w:cs="JetBrains Mono" w:eastAsia="JetBrains Mono"/>
          <w:b/>
          <w:i w:val="0"/>
          <w:color w:val="ED1C24"/>
          <w:sz w:val="40"/>
        </w:rPr>
        <w:t>ABSTRACT</w:t>
      </w:r>
    </w:p>
    <w:p>
      <w:pPr>
        <w:spacing w:before="0" w:after="120" w:line="336" w:lineRule="auto"/>
      </w:pPr>
      <w:r>
        <w:rPr>
          <w:rFonts w:ascii="Times New Roman" w:hAnsi="Times New Roman" w:cs="Times New Roman" w:eastAsia="Times New Roman"/>
          <w:b w:val="0"/>
          <w:i w:val="0"/>
          <w:sz w:val="24"/>
        </w:rPr>
        <w:t>This report presents an end-to-end credit-risk modeling pipeline built on the Kaggle Home Credit Default Risk dataset.  Seven raw tables (application, bureau, previous applications, installments, POS, credit card, bureau balance) are merged and transformed into 301 engineered features spanning application attributes, behavioural history, and external credit scores.  Four classifiers are compared: two logistic-regression baselines and two LightGBM gradient-boosted ensembles, with the final model wrapped in an isotonic-regression calibration layer.  The LightGBM + calibration model achieves AUC = 0.758, KS = 0.375 and recall = 86.2% at the F1-driven threshold τ = 0.05 on a 7,500-row held-out test set.  Probabilities are translated into a 600-base, 20-PDO credit score and bucketed into five risk bands (A–E) that show a monotonic default-rate gradient.  The full pipeline is reproducible from a single notebook; a Streamlit web app and a Docker image expose the model for non-technical stakeholders.</w:t>
      </w:r>
    </w:p>
    <w:p>
      <w:pPr>
        <w:spacing w:before="0" w:after="240" w:line="336" w:lineRule="auto"/>
      </w:pPr>
      <w:r>
        <w:rPr>
          <w:rFonts w:ascii="Times New Roman" w:hAnsi="Times New Roman" w:cs="Times New Roman" w:eastAsia="Times New Roman"/>
          <w:b w:val="0"/>
          <w:i/>
          <w:color w:val="666666"/>
          <w:sz w:val="22"/>
        </w:rPr>
        <w:t>Keywords: credit risk, probability of default, scorecard, gradient boosting, calibration, Home Credit, LightGBM, KS statistic.</w:t>
      </w:r>
    </w:p>
    <w:p>
      <w:r>
        <w:br w:type="page"/>
      </w:r>
    </w:p>
    <w:p>
      <w:pPr>
        <w:pageBreakBefore w:val="0"/>
        <w:spacing w:before="240" w:after="360"/>
        <w:jc w:val="center"/>
      </w:pPr>
      <w:r>
        <w:rPr>
          <w:rFonts w:ascii="JetBrains Mono" w:hAnsi="JetBrains Mono" w:cs="JetBrains Mono" w:eastAsia="JetBrains Mono"/>
          <w:b/>
          <w:i w:val="0"/>
          <w:color w:val="ED1C24"/>
          <w:sz w:val="40"/>
        </w:rPr>
        <w:t>ACKNOWLEDGEMENTS</w:t>
      </w:r>
    </w:p>
    <w:p>
      <w:pPr>
        <w:spacing w:before="0" w:after="120" w:line="336" w:lineRule="auto"/>
      </w:pPr>
      <w:r>
        <w:rPr>
          <w:rFonts w:ascii="Times New Roman" w:hAnsi="Times New Roman" w:cs="Times New Roman" w:eastAsia="Times New Roman"/>
          <w:b w:val="0"/>
          <w:i w:val="0"/>
          <w:sz w:val="24"/>
        </w:rPr>
        <w:t>I would like to thank my advisor and instructors in the Applied Mathematics and Finance program for their guidance throughout this project.  I am also grateful to the open-source community — the developers of Python, scikit-learn, LightGBM, Optuna, Matplotlib and Streamlit — whose well-engineered libraries made this work possible.  Finally, I thank Kaggle and Home Credit Group for releasing the dataset that anchors this study.</w:t>
      </w:r>
    </w:p>
    <w:p>
      <w:r>
        <w:br w:type="page"/>
      </w:r>
    </w:p>
    <w:p>
      <w:pPr>
        <w:pageBreakBefore w:val="0"/>
        <w:spacing w:before="240" w:after="360"/>
        <w:jc w:val="center"/>
      </w:pPr>
      <w:r>
        <w:rPr>
          <w:rFonts w:ascii="JetBrains Mono" w:hAnsi="JetBrains Mono" w:cs="JetBrains Mono" w:eastAsia="JetBrains Mono"/>
          <w:b/>
          <w:i w:val="0"/>
          <w:color w:val="ED1C24"/>
          <w:sz w:val="40"/>
        </w:rPr>
        <w:t>TABLE OF CONTENTS</w:t>
      </w:r>
    </w:p>
    <w:p>
      <w:r>
        <w:fldChar w:fldCharType="begin"/>
        <w:instrText xml:space="preserve">TOC \o "1-3" \h \z \u</w:instrText>
        <w:fldChar w:fldCharType="separate"/>
      </w:r>
    </w:p>
    <w:p>
      <w:r>
        <w:rPr>
          <w:rFonts w:ascii="Times New Roman" w:hAnsi="Times New Roman" w:cs="Times New Roman" w:eastAsia="Times New Roman"/>
          <w:b w:val="0"/>
          <w:i/>
          <w:color w:val="666666"/>
          <w:sz w:val="18"/>
        </w:rPr>
        <w:t>Right-click and select 'Update Field' to refresh the table of contents.</w:t>
      </w:r>
    </w:p>
    <w:p>
      <w:r>
        <w:br w:type="page"/>
      </w:r>
    </w:p>
    <w:p>
      <w:r>
        <w:br w:type="page"/>
      </w:r>
    </w:p>
    <w:p>
      <w:pPr>
        <w:pageBreakBefore w:val="0"/>
        <w:spacing w:before="240" w:after="360"/>
        <w:jc w:val="center"/>
      </w:pPr>
      <w:r>
        <w:rPr>
          <w:rFonts w:ascii="JetBrains Mono" w:hAnsi="JetBrains Mono" w:cs="JetBrains Mono" w:eastAsia="JetBrains Mono"/>
          <w:b/>
          <w:i w:val="0"/>
          <w:color w:val="ED1C24"/>
          <w:sz w:val="40"/>
        </w:rPr>
        <w:t>LIST OF FIGURES</w:t>
      </w:r>
    </w:p>
    <w:p>
      <w:pPr>
        <w:spacing w:before="0" w:after="40" w:line="288" w:lineRule="auto"/>
        <w:ind w:hanging="283"/>
      </w:pPr>
      <w:r>
        <w:rPr>
          <w:rFonts w:ascii="Times New Roman" w:hAnsi="Times New Roman" w:cs="Times New Roman" w:eastAsia="Times New Roman"/>
          <w:b w:val="0"/>
          <w:i w:val="0"/>
          <w:sz w:val="22"/>
        </w:rPr>
        <w:t>Figure 1.   Home Credit business overview.</w:t>
      </w:r>
    </w:p>
    <w:p>
      <w:pPr>
        <w:spacing w:before="0" w:after="40" w:line="288" w:lineRule="auto"/>
        <w:ind w:hanging="283"/>
      </w:pPr>
      <w:r>
        <w:rPr>
          <w:rFonts w:ascii="Times New Roman" w:hAnsi="Times New Roman" w:cs="Times New Roman" w:eastAsia="Times New Roman"/>
          <w:b w:val="0"/>
          <w:i w:val="0"/>
          <w:sz w:val="22"/>
        </w:rPr>
        <w:t>Figure 2.   Target distribution (counts, pie) and default rate by age group.</w:t>
      </w:r>
    </w:p>
    <w:p>
      <w:pPr>
        <w:spacing w:before="0" w:after="40" w:line="288" w:lineRule="auto"/>
        <w:ind w:hanging="283"/>
      </w:pPr>
      <w:r>
        <w:rPr>
          <w:rFonts w:ascii="Times New Roman" w:hAnsi="Times New Roman" w:cs="Times New Roman" w:eastAsia="Times New Roman"/>
          <w:b w:val="0"/>
          <w:i w:val="0"/>
          <w:sz w:val="22"/>
        </w:rPr>
        <w:t>Figure 3.   Top-20 columns by missing rate.</w:t>
      </w:r>
    </w:p>
    <w:p>
      <w:pPr>
        <w:spacing w:before="0" w:after="40" w:line="288" w:lineRule="auto"/>
        <w:ind w:hanging="283"/>
      </w:pPr>
      <w:r>
        <w:rPr>
          <w:rFonts w:ascii="Times New Roman" w:hAnsi="Times New Roman" w:cs="Times New Roman" w:eastAsia="Times New Roman"/>
          <w:b w:val="0"/>
          <w:i w:val="0"/>
          <w:sz w:val="22"/>
        </w:rPr>
        <w:t>Figure 4.   Top 7 input tables, summary.</w:t>
      </w:r>
    </w:p>
    <w:p>
      <w:pPr>
        <w:spacing w:before="0" w:after="40" w:line="288" w:lineRule="auto"/>
        <w:ind w:hanging="283"/>
      </w:pPr>
      <w:r>
        <w:rPr>
          <w:rFonts w:ascii="Times New Roman" w:hAnsi="Times New Roman" w:cs="Times New Roman" w:eastAsia="Times New Roman"/>
          <w:b w:val="0"/>
          <w:i w:val="0"/>
          <w:sz w:val="22"/>
        </w:rPr>
        <w:t>Figure 5.   Stratified 70/15/15 split used in this work.</w:t>
      </w:r>
    </w:p>
    <w:p>
      <w:pPr>
        <w:spacing w:before="0" w:after="40" w:line="288" w:lineRule="auto"/>
        <w:ind w:hanging="283"/>
      </w:pPr>
      <w:r>
        <w:rPr>
          <w:rFonts w:ascii="Times New Roman" w:hAnsi="Times New Roman" w:cs="Times New Roman" w:eastAsia="Times New Roman"/>
          <w:b w:val="0"/>
          <w:i w:val="0"/>
          <w:sz w:val="22"/>
        </w:rPr>
        <w:t>Figure 6.   Block diagram of the data-preprocessing pipeline.</w:t>
      </w:r>
    </w:p>
    <w:p>
      <w:pPr>
        <w:spacing w:before="0" w:after="40" w:line="288" w:lineRule="auto"/>
        <w:ind w:hanging="283"/>
      </w:pPr>
      <w:r>
        <w:rPr>
          <w:rFonts w:ascii="Times New Roman" w:hAnsi="Times New Roman" w:cs="Times New Roman" w:eastAsia="Times New Roman"/>
          <w:b w:val="0"/>
          <w:i w:val="0"/>
          <w:sz w:val="22"/>
        </w:rPr>
        <w:t>Figure 7.   Block diagram of the modelling pipeline.</w:t>
      </w:r>
    </w:p>
    <w:p>
      <w:pPr>
        <w:spacing w:before="0" w:after="40" w:line="288" w:lineRule="auto"/>
        <w:ind w:hanging="283"/>
      </w:pPr>
      <w:r>
        <w:rPr>
          <w:rFonts w:ascii="Times New Roman" w:hAnsi="Times New Roman" w:cs="Times New Roman" w:eastAsia="Times New Roman"/>
          <w:b w:val="0"/>
          <w:i w:val="0"/>
          <w:sz w:val="22"/>
        </w:rPr>
        <w:t>Figure 8.   ROC curves for the four candidate models.</w:t>
      </w:r>
    </w:p>
    <w:p>
      <w:pPr>
        <w:spacing w:before="0" w:after="40" w:line="288" w:lineRule="auto"/>
        <w:ind w:hanging="283"/>
      </w:pPr>
      <w:r>
        <w:rPr>
          <w:rFonts w:ascii="Times New Roman" w:hAnsi="Times New Roman" w:cs="Times New Roman" w:eastAsia="Times New Roman"/>
          <w:b w:val="0"/>
          <w:i w:val="0"/>
          <w:sz w:val="22"/>
        </w:rPr>
        <w:t>Figure 9.   Precision-Recall curve for the two LightGBM models.</w:t>
      </w:r>
    </w:p>
    <w:p>
      <w:pPr>
        <w:spacing w:before="0" w:after="40" w:line="288" w:lineRule="auto"/>
        <w:ind w:hanging="283"/>
      </w:pPr>
      <w:r>
        <w:rPr>
          <w:rFonts w:ascii="Times New Roman" w:hAnsi="Times New Roman" w:cs="Times New Roman" w:eastAsia="Times New Roman"/>
          <w:b w:val="0"/>
          <w:i w:val="0"/>
          <w:sz w:val="22"/>
        </w:rPr>
        <w:t>Figure 10.  Kolmogorov-Smirnov plot for the two LightGBM models.</w:t>
      </w:r>
    </w:p>
    <w:p>
      <w:pPr>
        <w:spacing w:before="0" w:after="40" w:line="288" w:lineRule="auto"/>
        <w:ind w:hanging="283"/>
      </w:pPr>
      <w:r>
        <w:rPr>
          <w:rFonts w:ascii="Times New Roman" w:hAnsi="Times New Roman" w:cs="Times New Roman" w:eastAsia="Times New Roman"/>
          <w:b w:val="0"/>
          <w:i w:val="0"/>
          <w:sz w:val="22"/>
        </w:rPr>
        <w:t>Figure 11.  Reliability / calibration plot for the selected model.</w:t>
      </w:r>
    </w:p>
    <w:p>
      <w:pPr>
        <w:spacing w:before="0" w:after="40" w:line="288" w:lineRule="auto"/>
        <w:ind w:hanging="283"/>
      </w:pPr>
      <w:r>
        <w:rPr>
          <w:rFonts w:ascii="Times New Roman" w:hAnsi="Times New Roman" w:cs="Times New Roman" w:eastAsia="Times New Roman"/>
          <w:b w:val="0"/>
          <w:i w:val="0"/>
          <w:sz w:val="22"/>
        </w:rPr>
        <w:t>Figure 12.  Top-25 features by LightGBM gain.</w:t>
      </w:r>
    </w:p>
    <w:p>
      <w:pPr>
        <w:spacing w:before="0" w:after="40" w:line="288" w:lineRule="auto"/>
        <w:ind w:hanging="283"/>
      </w:pPr>
      <w:r>
        <w:rPr>
          <w:rFonts w:ascii="Times New Roman" w:hAnsi="Times New Roman" w:cs="Times New Roman" w:eastAsia="Times New Roman"/>
          <w:b w:val="0"/>
          <w:i w:val="0"/>
          <w:sz w:val="22"/>
        </w:rPr>
        <w:t>Figure 13.  Score distribution and risk-band boundary.</w:t>
      </w:r>
    </w:p>
    <w:p>
      <w:pPr>
        <w:spacing w:before="0" w:after="40" w:line="288" w:lineRule="auto"/>
        <w:ind w:hanging="283"/>
      </w:pPr>
      <w:r>
        <w:rPr>
          <w:rFonts w:ascii="Times New Roman" w:hAnsi="Times New Roman" w:cs="Times New Roman" w:eastAsia="Times New Roman"/>
          <w:b w:val="0"/>
          <w:i w:val="0"/>
          <w:sz w:val="22"/>
        </w:rPr>
        <w:t>Figure 14.  Empirical default rate by risk band.</w:t>
      </w:r>
    </w:p>
    <w:p>
      <w:pPr>
        <w:spacing w:before="0" w:after="40" w:line="288" w:lineRule="auto"/>
        <w:ind w:hanging="283"/>
      </w:pPr>
      <w:r>
        <w:rPr>
          <w:rFonts w:ascii="Times New Roman" w:hAnsi="Times New Roman" w:cs="Times New Roman" w:eastAsia="Times New Roman"/>
          <w:b w:val="0"/>
          <w:i w:val="0"/>
          <w:sz w:val="22"/>
        </w:rPr>
        <w:t>Figure 15.  Streamlit Predict page — interactive scoring form.</w:t>
      </w:r>
    </w:p>
    <w:p>
      <w:pPr>
        <w:spacing w:before="0" w:after="40" w:line="288" w:lineRule="auto"/>
        <w:ind w:hanging="283"/>
      </w:pPr>
      <w:r>
        <w:rPr>
          <w:rFonts w:ascii="Times New Roman" w:hAnsi="Times New Roman" w:cs="Times New Roman" w:eastAsia="Times New Roman"/>
          <w:b w:val="0"/>
          <w:i w:val="0"/>
          <w:sz w:val="22"/>
        </w:rPr>
        <w:t>Figure 16.  Streamlit Performance page — evaluation dashboard.</w:t>
      </w:r>
    </w:p>
    <w:p>
      <w:r>
        <w:br w:type="page"/>
      </w:r>
    </w:p>
    <w:p>
      <w:r>
        <w:br w:type="page"/>
      </w:r>
    </w:p>
    <w:p>
      <w:pPr>
        <w:pageBreakBefore w:val="0"/>
        <w:spacing w:before="240" w:after="360"/>
        <w:jc w:val="center"/>
      </w:pPr>
      <w:r>
        <w:rPr>
          <w:rFonts w:ascii="JetBrains Mono" w:hAnsi="JetBrains Mono" w:cs="JetBrains Mono" w:eastAsia="JetBrains Mono"/>
          <w:b/>
          <w:i w:val="0"/>
          <w:color w:val="ED1C24"/>
          <w:sz w:val="40"/>
        </w:rPr>
        <w:t>TABLE OF ABBREVIATIONS</w:t>
      </w:r>
    </w:p>
    <w:tbl>
      <w:tblPr>
        <w:tblStyle w:val="LightGrid-Accent1"/>
        <w:tblW w:type="auto" w:w="0"/>
        <w:jc w:val="center"/>
        <w:tblLook w:firstColumn="1" w:firstRow="1" w:lastColumn="0" w:lastRow="0" w:noHBand="0" w:noVBand="1" w:val="04A0"/>
      </w:tblPr>
      <w:tblGrid>
        <w:gridCol w:w="4536"/>
        <w:gridCol w:w="4536"/>
      </w:tblGrid>
      <w:tr>
        <w:tc>
          <w:tcPr>
            <w:tcW w:type="dxa" w:w="1984"/>
            <w:shd w:val="clear" w:color="auto" w:fill="ED1C24"/>
          </w:tcPr>
          <w:p>
            <w:pPr>
              <w:spacing w:before="40" w:after="40"/>
              <w:jc w:val="left"/>
            </w:pPr>
            <w:r/>
            <w:r>
              <w:rPr>
                <w:rFonts w:ascii="JetBrains Mono" w:hAnsi="JetBrains Mono" w:cs="JetBrains Mono" w:eastAsia="JetBrains Mono"/>
                <w:b/>
                <w:i w:val="0"/>
                <w:color w:val="FFFFFF"/>
                <w:sz w:val="20"/>
              </w:rPr>
              <w:t>Abbreviation</w:t>
            </w:r>
          </w:p>
        </w:tc>
        <w:tc>
          <w:tcPr>
            <w:tcW w:type="dxa" w:w="6803"/>
            <w:shd w:val="clear" w:color="auto" w:fill="ED1C24"/>
          </w:tcPr>
          <w:p>
            <w:pPr>
              <w:spacing w:before="40" w:after="40"/>
              <w:jc w:val="center"/>
            </w:pPr>
            <w:r/>
            <w:r>
              <w:rPr>
                <w:rFonts w:ascii="JetBrains Mono" w:hAnsi="JetBrains Mono" w:cs="JetBrains Mono" w:eastAsia="JetBrains Mono"/>
                <w:b/>
                <w:i w:val="0"/>
                <w:color w:val="FFFFFF"/>
                <w:sz w:val="20"/>
              </w:rPr>
              <w:t>Full term</w:t>
            </w:r>
          </w:p>
        </w:tc>
      </w:tr>
      <w:tr>
        <w:tc>
          <w:tcPr>
            <w:tcW w:type="dxa" w:w="1984"/>
          </w:tcPr>
          <w:p>
            <w:pPr>
              <w:spacing w:before="40" w:after="40"/>
              <w:jc w:val="left"/>
            </w:pPr>
            <w:r/>
            <w:r>
              <w:rPr>
                <w:rFonts w:ascii="JetBrains Mono" w:hAnsi="JetBrains Mono" w:cs="JetBrains Mono" w:eastAsia="JetBrains Mono"/>
                <w:b w:val="0"/>
                <w:i w:val="0"/>
                <w:sz w:val="18"/>
              </w:rPr>
              <w:t>AUC</w:t>
            </w:r>
          </w:p>
        </w:tc>
        <w:tc>
          <w:tcPr>
            <w:tcW w:type="dxa" w:w="6803"/>
          </w:tcPr>
          <w:p>
            <w:pPr>
              <w:spacing w:before="40" w:after="40"/>
              <w:jc w:val="center"/>
            </w:pPr>
            <w:r/>
            <w:r>
              <w:rPr>
                <w:rFonts w:ascii="JetBrains Mono" w:hAnsi="JetBrains Mono" w:cs="JetBrains Mono" w:eastAsia="JetBrains Mono"/>
                <w:b w:val="0"/>
                <w:i w:val="0"/>
                <w:sz w:val="18"/>
              </w:rPr>
              <w:t>Area Under the ROC Curve</w:t>
            </w:r>
          </w:p>
        </w:tc>
      </w:tr>
      <w:tr>
        <w:tc>
          <w:tcPr>
            <w:tcW w:type="dxa" w:w="1984"/>
          </w:tcPr>
          <w:p>
            <w:pPr>
              <w:spacing w:before="40" w:after="40"/>
              <w:jc w:val="left"/>
            </w:pPr>
            <w:r/>
            <w:r>
              <w:rPr>
                <w:rFonts w:ascii="JetBrains Mono" w:hAnsi="JetBrains Mono" w:cs="JetBrains Mono" w:eastAsia="JetBrains Mono"/>
                <w:b w:val="0"/>
                <w:i w:val="0"/>
                <w:sz w:val="18"/>
              </w:rPr>
              <w:t>Brier</w:t>
            </w:r>
          </w:p>
        </w:tc>
        <w:tc>
          <w:tcPr>
            <w:tcW w:type="dxa" w:w="6803"/>
          </w:tcPr>
          <w:p>
            <w:pPr>
              <w:spacing w:before="40" w:after="40"/>
              <w:jc w:val="center"/>
            </w:pPr>
            <w:r/>
            <w:r>
              <w:rPr>
                <w:rFonts w:ascii="JetBrains Mono" w:hAnsi="JetBrains Mono" w:cs="JetBrains Mono" w:eastAsia="JetBrains Mono"/>
                <w:b w:val="0"/>
                <w:i w:val="0"/>
                <w:sz w:val="18"/>
              </w:rPr>
              <w:t>Brier score (mean squared error of probability estimates)</w:t>
            </w:r>
          </w:p>
        </w:tc>
      </w:tr>
      <w:tr>
        <w:tc>
          <w:tcPr>
            <w:tcW w:type="dxa" w:w="1984"/>
          </w:tcPr>
          <w:p>
            <w:pPr>
              <w:spacing w:before="40" w:after="40"/>
              <w:jc w:val="left"/>
            </w:pPr>
            <w:r/>
            <w:r>
              <w:rPr>
                <w:rFonts w:ascii="JetBrains Mono" w:hAnsi="JetBrains Mono" w:cs="JetBrains Mono" w:eastAsia="JetBrains Mono"/>
                <w:b w:val="0"/>
                <w:i w:val="0"/>
                <w:sz w:val="18"/>
              </w:rPr>
              <w:t>CDC</w:t>
            </w:r>
          </w:p>
        </w:tc>
        <w:tc>
          <w:tcPr>
            <w:tcW w:type="dxa" w:w="6803"/>
          </w:tcPr>
          <w:p>
            <w:pPr>
              <w:spacing w:before="40" w:after="40"/>
              <w:jc w:val="center"/>
            </w:pPr>
            <w:r/>
            <w:r>
              <w:rPr>
                <w:rFonts w:ascii="JetBrains Mono" w:hAnsi="JetBrains Mono" w:cs="JetBrains Mono" w:eastAsia="JetBrains Mono"/>
                <w:b w:val="0"/>
                <w:i w:val="0"/>
                <w:sz w:val="18"/>
              </w:rPr>
              <w:t>Change Data Capture</w:t>
            </w:r>
          </w:p>
        </w:tc>
      </w:tr>
      <w:tr>
        <w:tc>
          <w:tcPr>
            <w:tcW w:type="dxa" w:w="1984"/>
          </w:tcPr>
          <w:p>
            <w:pPr>
              <w:spacing w:before="40" w:after="40"/>
              <w:jc w:val="left"/>
            </w:pPr>
            <w:r/>
            <w:r>
              <w:rPr>
                <w:rFonts w:ascii="JetBrains Mono" w:hAnsi="JetBrains Mono" w:cs="JetBrains Mono" w:eastAsia="JetBrains Mono"/>
                <w:b w:val="0"/>
                <w:i w:val="0"/>
                <w:sz w:val="18"/>
              </w:rPr>
              <w:t>CSV</w:t>
            </w:r>
          </w:p>
        </w:tc>
        <w:tc>
          <w:tcPr>
            <w:tcW w:type="dxa" w:w="6803"/>
          </w:tcPr>
          <w:p>
            <w:pPr>
              <w:spacing w:before="40" w:after="40"/>
              <w:jc w:val="center"/>
            </w:pPr>
            <w:r/>
            <w:r>
              <w:rPr>
                <w:rFonts w:ascii="JetBrains Mono" w:hAnsi="JetBrains Mono" w:cs="JetBrains Mono" w:eastAsia="JetBrains Mono"/>
                <w:b w:val="0"/>
                <w:i w:val="0"/>
                <w:sz w:val="18"/>
              </w:rPr>
              <w:t>Comma-Separated Values</w:t>
            </w:r>
          </w:p>
        </w:tc>
      </w:tr>
      <w:tr>
        <w:tc>
          <w:tcPr>
            <w:tcW w:type="dxa" w:w="1984"/>
          </w:tcPr>
          <w:p>
            <w:pPr>
              <w:spacing w:before="40" w:after="40"/>
              <w:jc w:val="left"/>
            </w:pPr>
            <w:r/>
            <w:r>
              <w:rPr>
                <w:rFonts w:ascii="JetBrains Mono" w:hAnsi="JetBrains Mono" w:cs="JetBrains Mono" w:eastAsia="JetBrains Mono"/>
                <w:b w:val="0"/>
                <w:i w:val="0"/>
                <w:sz w:val="18"/>
              </w:rPr>
              <w:t>DAG</w:t>
            </w:r>
          </w:p>
        </w:tc>
        <w:tc>
          <w:tcPr>
            <w:tcW w:type="dxa" w:w="6803"/>
          </w:tcPr>
          <w:p>
            <w:pPr>
              <w:spacing w:before="40" w:after="40"/>
              <w:jc w:val="center"/>
            </w:pPr>
            <w:r/>
            <w:r>
              <w:rPr>
                <w:rFonts w:ascii="JetBrains Mono" w:hAnsi="JetBrains Mono" w:cs="JetBrains Mono" w:eastAsia="JetBrains Mono"/>
                <w:b w:val="0"/>
                <w:i w:val="0"/>
                <w:sz w:val="18"/>
              </w:rPr>
              <w:t>Directed Acyclic Graph</w:t>
            </w:r>
          </w:p>
        </w:tc>
      </w:tr>
      <w:tr>
        <w:tc>
          <w:tcPr>
            <w:tcW w:type="dxa" w:w="1984"/>
          </w:tcPr>
          <w:p>
            <w:pPr>
              <w:spacing w:before="40" w:after="40"/>
              <w:jc w:val="left"/>
            </w:pPr>
            <w:r/>
            <w:r>
              <w:rPr>
                <w:rFonts w:ascii="JetBrains Mono" w:hAnsi="JetBrains Mono" w:cs="JetBrains Mono" w:eastAsia="JetBrains Mono"/>
                <w:b w:val="0"/>
                <w:i w:val="0"/>
                <w:sz w:val="18"/>
              </w:rPr>
              <w:t>DOI</w:t>
            </w:r>
          </w:p>
        </w:tc>
        <w:tc>
          <w:tcPr>
            <w:tcW w:type="dxa" w:w="6803"/>
          </w:tcPr>
          <w:p>
            <w:pPr>
              <w:spacing w:before="40" w:after="40"/>
              <w:jc w:val="center"/>
            </w:pPr>
            <w:r/>
            <w:r>
              <w:rPr>
                <w:rFonts w:ascii="JetBrains Mono" w:hAnsi="JetBrains Mono" w:cs="JetBrains Mono" w:eastAsia="JetBrains Mono"/>
                <w:b w:val="0"/>
                <w:i w:val="0"/>
                <w:sz w:val="18"/>
              </w:rPr>
              <w:t>Digital Object Identifier</w:t>
            </w:r>
          </w:p>
        </w:tc>
      </w:tr>
      <w:tr>
        <w:tc>
          <w:tcPr>
            <w:tcW w:type="dxa" w:w="1984"/>
          </w:tcPr>
          <w:p>
            <w:pPr>
              <w:spacing w:before="40" w:after="40"/>
              <w:jc w:val="left"/>
            </w:pPr>
            <w:r/>
            <w:r>
              <w:rPr>
                <w:rFonts w:ascii="JetBrains Mono" w:hAnsi="JetBrains Mono" w:cs="JetBrains Mono" w:eastAsia="JetBrains Mono"/>
                <w:b w:val="0"/>
                <w:i w:val="0"/>
                <w:sz w:val="18"/>
              </w:rPr>
              <w:t>EBM</w:t>
            </w:r>
          </w:p>
        </w:tc>
        <w:tc>
          <w:tcPr>
            <w:tcW w:type="dxa" w:w="6803"/>
          </w:tcPr>
          <w:p>
            <w:pPr>
              <w:spacing w:before="40" w:after="40"/>
              <w:jc w:val="center"/>
            </w:pPr>
            <w:r/>
            <w:r>
              <w:rPr>
                <w:rFonts w:ascii="JetBrains Mono" w:hAnsi="JetBrains Mono" w:cs="JetBrains Mono" w:eastAsia="JetBrains Mono"/>
                <w:b w:val="0"/>
                <w:i w:val="0"/>
                <w:sz w:val="18"/>
              </w:rPr>
              <w:t>Explainable Boosting Machine</w:t>
            </w:r>
          </w:p>
        </w:tc>
      </w:tr>
      <w:tr>
        <w:tc>
          <w:tcPr>
            <w:tcW w:type="dxa" w:w="1984"/>
          </w:tcPr>
          <w:p>
            <w:pPr>
              <w:spacing w:before="40" w:after="40"/>
              <w:jc w:val="left"/>
            </w:pPr>
            <w:r/>
            <w:r>
              <w:rPr>
                <w:rFonts w:ascii="JetBrains Mono" w:hAnsi="JetBrains Mono" w:cs="JetBrains Mono" w:eastAsia="JetBrains Mono"/>
                <w:b w:val="0"/>
                <w:i w:val="0"/>
                <w:sz w:val="18"/>
              </w:rPr>
              <w:t>ELT</w:t>
            </w:r>
          </w:p>
        </w:tc>
        <w:tc>
          <w:tcPr>
            <w:tcW w:type="dxa" w:w="6803"/>
          </w:tcPr>
          <w:p>
            <w:pPr>
              <w:spacing w:before="40" w:after="40"/>
              <w:jc w:val="center"/>
            </w:pPr>
            <w:r/>
            <w:r>
              <w:rPr>
                <w:rFonts w:ascii="JetBrains Mono" w:hAnsi="JetBrains Mono" w:cs="JetBrains Mono" w:eastAsia="JetBrains Mono"/>
                <w:b w:val="0"/>
                <w:i w:val="0"/>
                <w:sz w:val="18"/>
              </w:rPr>
              <w:t>Extract – Load – Transform</w:t>
            </w:r>
          </w:p>
        </w:tc>
      </w:tr>
      <w:tr>
        <w:tc>
          <w:tcPr>
            <w:tcW w:type="dxa" w:w="1984"/>
          </w:tcPr>
          <w:p>
            <w:pPr>
              <w:spacing w:before="40" w:after="40"/>
              <w:jc w:val="left"/>
            </w:pPr>
            <w:r/>
            <w:r>
              <w:rPr>
                <w:rFonts w:ascii="JetBrains Mono" w:hAnsi="JetBrains Mono" w:cs="JetBrains Mono" w:eastAsia="JetBrains Mono"/>
                <w:b w:val="0"/>
                <w:i w:val="0"/>
                <w:sz w:val="18"/>
              </w:rPr>
              <w:t>ETL</w:t>
            </w:r>
          </w:p>
        </w:tc>
        <w:tc>
          <w:tcPr>
            <w:tcW w:type="dxa" w:w="6803"/>
          </w:tcPr>
          <w:p>
            <w:pPr>
              <w:spacing w:before="40" w:after="40"/>
              <w:jc w:val="center"/>
            </w:pPr>
            <w:r/>
            <w:r>
              <w:rPr>
                <w:rFonts w:ascii="JetBrains Mono" w:hAnsi="JetBrains Mono" w:cs="JetBrains Mono" w:eastAsia="JetBrains Mono"/>
                <w:b w:val="0"/>
                <w:i w:val="0"/>
                <w:sz w:val="18"/>
              </w:rPr>
              <w:t>Extract – Transform – Load</w:t>
            </w:r>
          </w:p>
        </w:tc>
      </w:tr>
      <w:tr>
        <w:tc>
          <w:tcPr>
            <w:tcW w:type="dxa" w:w="1984"/>
          </w:tcPr>
          <w:p>
            <w:pPr>
              <w:spacing w:before="40" w:after="40"/>
              <w:jc w:val="left"/>
            </w:pPr>
            <w:r/>
            <w:r>
              <w:rPr>
                <w:rFonts w:ascii="JetBrains Mono" w:hAnsi="JetBrains Mono" w:cs="JetBrains Mono" w:eastAsia="JetBrains Mono"/>
                <w:b w:val="0"/>
                <w:i w:val="0"/>
                <w:sz w:val="18"/>
              </w:rPr>
              <w:t>FE</w:t>
            </w:r>
          </w:p>
        </w:tc>
        <w:tc>
          <w:tcPr>
            <w:tcW w:type="dxa" w:w="6803"/>
          </w:tcPr>
          <w:p>
            <w:pPr>
              <w:spacing w:before="40" w:after="40"/>
              <w:jc w:val="center"/>
            </w:pPr>
            <w:r/>
            <w:r>
              <w:rPr>
                <w:rFonts w:ascii="JetBrains Mono" w:hAnsi="JetBrains Mono" w:cs="JetBrains Mono" w:eastAsia="JetBrains Mono"/>
                <w:b w:val="0"/>
                <w:i w:val="0"/>
                <w:sz w:val="18"/>
              </w:rPr>
              <w:t>Feature Engineering</w:t>
            </w:r>
          </w:p>
        </w:tc>
      </w:tr>
      <w:tr>
        <w:tc>
          <w:tcPr>
            <w:tcW w:type="dxa" w:w="1984"/>
          </w:tcPr>
          <w:p>
            <w:pPr>
              <w:spacing w:before="40" w:after="40"/>
              <w:jc w:val="left"/>
            </w:pPr>
            <w:r/>
            <w:r>
              <w:rPr>
                <w:rFonts w:ascii="JetBrains Mono" w:hAnsi="JetBrains Mono" w:cs="JetBrains Mono" w:eastAsia="JetBrains Mono"/>
                <w:b w:val="0"/>
                <w:i w:val="0"/>
                <w:sz w:val="18"/>
              </w:rPr>
              <w:t>GBM</w:t>
            </w:r>
          </w:p>
        </w:tc>
        <w:tc>
          <w:tcPr>
            <w:tcW w:type="dxa" w:w="6803"/>
          </w:tcPr>
          <w:p>
            <w:pPr>
              <w:spacing w:before="40" w:after="40"/>
              <w:jc w:val="center"/>
            </w:pPr>
            <w:r/>
            <w:r>
              <w:rPr>
                <w:rFonts w:ascii="JetBrains Mono" w:hAnsi="JetBrains Mono" w:cs="JetBrains Mono" w:eastAsia="JetBrains Mono"/>
                <w:b w:val="0"/>
                <w:i w:val="0"/>
                <w:sz w:val="18"/>
              </w:rPr>
              <w:t>Gradient Boosting Machine</w:t>
            </w:r>
          </w:p>
        </w:tc>
      </w:tr>
      <w:tr>
        <w:tc>
          <w:tcPr>
            <w:tcW w:type="dxa" w:w="1984"/>
          </w:tcPr>
          <w:p>
            <w:pPr>
              <w:spacing w:before="40" w:after="40"/>
              <w:jc w:val="left"/>
            </w:pPr>
            <w:r/>
            <w:r>
              <w:rPr>
                <w:rFonts w:ascii="JetBrains Mono" w:hAnsi="JetBrains Mono" w:cs="JetBrains Mono" w:eastAsia="JetBrains Mono"/>
                <w:b w:val="0"/>
                <w:i w:val="0"/>
                <w:sz w:val="18"/>
              </w:rPr>
              <w:t>Gini</w:t>
            </w:r>
          </w:p>
        </w:tc>
        <w:tc>
          <w:tcPr>
            <w:tcW w:type="dxa" w:w="6803"/>
          </w:tcPr>
          <w:p>
            <w:pPr>
              <w:spacing w:before="40" w:after="40"/>
              <w:jc w:val="center"/>
            </w:pPr>
            <w:r/>
            <w:r>
              <w:rPr>
                <w:rFonts w:ascii="JetBrains Mono" w:hAnsi="JetBrains Mono" w:cs="JetBrains Mono" w:eastAsia="JetBrains Mono"/>
                <w:b w:val="0"/>
                <w:i w:val="0"/>
                <w:sz w:val="18"/>
              </w:rPr>
              <w:t>Gini coefficient (= 2·AUC − 1)</w:t>
            </w:r>
          </w:p>
        </w:tc>
      </w:tr>
      <w:tr>
        <w:tc>
          <w:tcPr>
            <w:tcW w:type="dxa" w:w="1984"/>
          </w:tcPr>
          <w:p>
            <w:pPr>
              <w:spacing w:before="40" w:after="40"/>
              <w:jc w:val="left"/>
            </w:pPr>
            <w:r/>
            <w:r>
              <w:rPr>
                <w:rFonts w:ascii="JetBrains Mono" w:hAnsi="JetBrains Mono" w:cs="JetBrains Mono" w:eastAsia="JetBrains Mono"/>
                <w:b w:val="0"/>
                <w:i w:val="0"/>
                <w:sz w:val="18"/>
              </w:rPr>
              <w:t>HC</w:t>
            </w:r>
          </w:p>
        </w:tc>
        <w:tc>
          <w:tcPr>
            <w:tcW w:type="dxa" w:w="6803"/>
          </w:tcPr>
          <w:p>
            <w:pPr>
              <w:spacing w:before="40" w:after="40"/>
              <w:jc w:val="center"/>
            </w:pPr>
            <w:r/>
            <w:r>
              <w:rPr>
                <w:rFonts w:ascii="JetBrains Mono" w:hAnsi="JetBrains Mono" w:cs="JetBrains Mono" w:eastAsia="JetBrains Mono"/>
                <w:b w:val="0"/>
                <w:i w:val="0"/>
                <w:sz w:val="18"/>
              </w:rPr>
              <w:t>Home Credit Group</w:t>
            </w:r>
          </w:p>
        </w:tc>
      </w:tr>
      <w:tr>
        <w:tc>
          <w:tcPr>
            <w:tcW w:type="dxa" w:w="1984"/>
          </w:tcPr>
          <w:p>
            <w:pPr>
              <w:spacing w:before="40" w:after="40"/>
              <w:jc w:val="left"/>
            </w:pPr>
            <w:r/>
            <w:r>
              <w:rPr>
                <w:rFonts w:ascii="JetBrains Mono" w:hAnsi="JetBrains Mono" w:cs="JetBrains Mono" w:eastAsia="JetBrains Mono"/>
                <w:b w:val="0"/>
                <w:i w:val="0"/>
                <w:sz w:val="18"/>
              </w:rPr>
              <w:t>JSON</w:t>
            </w:r>
          </w:p>
        </w:tc>
        <w:tc>
          <w:tcPr>
            <w:tcW w:type="dxa" w:w="6803"/>
          </w:tcPr>
          <w:p>
            <w:pPr>
              <w:spacing w:before="40" w:after="40"/>
              <w:jc w:val="center"/>
            </w:pPr>
            <w:r/>
            <w:r>
              <w:rPr>
                <w:rFonts w:ascii="JetBrains Mono" w:hAnsi="JetBrains Mono" w:cs="JetBrains Mono" w:eastAsia="JetBrains Mono"/>
                <w:b w:val="0"/>
                <w:i w:val="0"/>
                <w:sz w:val="18"/>
              </w:rPr>
              <w:t>JavaScript Object Notation</w:t>
            </w:r>
          </w:p>
        </w:tc>
      </w:tr>
      <w:tr>
        <w:tc>
          <w:tcPr>
            <w:tcW w:type="dxa" w:w="1984"/>
          </w:tcPr>
          <w:p>
            <w:pPr>
              <w:spacing w:before="40" w:after="40"/>
              <w:jc w:val="left"/>
            </w:pPr>
            <w:r/>
            <w:r>
              <w:rPr>
                <w:rFonts w:ascii="JetBrains Mono" w:hAnsi="JetBrains Mono" w:cs="JetBrains Mono" w:eastAsia="JetBrains Mono"/>
                <w:b w:val="0"/>
                <w:i w:val="0"/>
                <w:sz w:val="18"/>
              </w:rPr>
              <w:t>Kaggle</w:t>
            </w:r>
          </w:p>
        </w:tc>
        <w:tc>
          <w:tcPr>
            <w:tcW w:type="dxa" w:w="6803"/>
          </w:tcPr>
          <w:p>
            <w:pPr>
              <w:spacing w:before="40" w:after="40"/>
              <w:jc w:val="center"/>
            </w:pPr>
            <w:r/>
            <w:r>
              <w:rPr>
                <w:rFonts w:ascii="JetBrains Mono" w:hAnsi="JetBrains Mono" w:cs="JetBrains Mono" w:eastAsia="JetBrains Mono"/>
                <w:b w:val="0"/>
                <w:i w:val="0"/>
                <w:sz w:val="18"/>
              </w:rPr>
              <w:t>Kaggle (data-science competition platform)</w:t>
            </w:r>
          </w:p>
        </w:tc>
      </w:tr>
      <w:tr>
        <w:tc>
          <w:tcPr>
            <w:tcW w:type="dxa" w:w="1984"/>
          </w:tcPr>
          <w:p>
            <w:pPr>
              <w:spacing w:before="40" w:after="40"/>
              <w:jc w:val="left"/>
            </w:pPr>
            <w:r/>
            <w:r>
              <w:rPr>
                <w:rFonts w:ascii="JetBrains Mono" w:hAnsi="JetBrains Mono" w:cs="JetBrains Mono" w:eastAsia="JetBrains Mono"/>
                <w:b w:val="0"/>
                <w:i w:val="0"/>
                <w:sz w:val="18"/>
              </w:rPr>
              <w:t>KPI</w:t>
            </w:r>
          </w:p>
        </w:tc>
        <w:tc>
          <w:tcPr>
            <w:tcW w:type="dxa" w:w="6803"/>
          </w:tcPr>
          <w:p>
            <w:pPr>
              <w:spacing w:before="40" w:after="40"/>
              <w:jc w:val="center"/>
            </w:pPr>
            <w:r/>
            <w:r>
              <w:rPr>
                <w:rFonts w:ascii="JetBrains Mono" w:hAnsi="JetBrains Mono" w:cs="JetBrains Mono" w:eastAsia="JetBrains Mono"/>
                <w:b w:val="0"/>
                <w:i w:val="0"/>
                <w:sz w:val="18"/>
              </w:rPr>
              <w:t>Key Performance Indicator</w:t>
            </w:r>
          </w:p>
        </w:tc>
      </w:tr>
      <w:tr>
        <w:tc>
          <w:tcPr>
            <w:tcW w:type="dxa" w:w="1984"/>
          </w:tcPr>
          <w:p>
            <w:pPr>
              <w:spacing w:before="40" w:after="40"/>
              <w:jc w:val="left"/>
            </w:pPr>
            <w:r/>
            <w:r>
              <w:rPr>
                <w:rFonts w:ascii="JetBrains Mono" w:hAnsi="JetBrains Mono" w:cs="JetBrains Mono" w:eastAsia="JetBrains Mono"/>
                <w:b w:val="0"/>
                <w:i w:val="0"/>
                <w:sz w:val="18"/>
              </w:rPr>
              <w:t>KS</w:t>
            </w:r>
          </w:p>
        </w:tc>
        <w:tc>
          <w:tcPr>
            <w:tcW w:type="dxa" w:w="6803"/>
          </w:tcPr>
          <w:p>
            <w:pPr>
              <w:spacing w:before="40" w:after="40"/>
              <w:jc w:val="center"/>
            </w:pPr>
            <w:r/>
            <w:r>
              <w:rPr>
                <w:rFonts w:ascii="JetBrains Mono" w:hAnsi="JetBrains Mono" w:cs="JetBrains Mono" w:eastAsia="JetBrains Mono"/>
                <w:b w:val="0"/>
                <w:i w:val="0"/>
                <w:sz w:val="18"/>
              </w:rPr>
              <w:t>Kolmogorov-Smirnov statistic</w:t>
            </w:r>
          </w:p>
        </w:tc>
      </w:tr>
      <w:tr>
        <w:tc>
          <w:tcPr>
            <w:tcW w:type="dxa" w:w="1984"/>
          </w:tcPr>
          <w:p>
            <w:pPr>
              <w:spacing w:before="40" w:after="40"/>
              <w:jc w:val="left"/>
            </w:pPr>
            <w:r/>
            <w:r>
              <w:rPr>
                <w:rFonts w:ascii="JetBrains Mono" w:hAnsi="JetBrains Mono" w:cs="JetBrains Mono" w:eastAsia="JetBrains Mono"/>
                <w:b w:val="0"/>
                <w:i w:val="0"/>
                <w:sz w:val="18"/>
              </w:rPr>
              <w:t>LR</w:t>
            </w:r>
          </w:p>
        </w:tc>
        <w:tc>
          <w:tcPr>
            <w:tcW w:type="dxa" w:w="6803"/>
          </w:tcPr>
          <w:p>
            <w:pPr>
              <w:spacing w:before="40" w:after="40"/>
              <w:jc w:val="center"/>
            </w:pPr>
            <w:r/>
            <w:r>
              <w:rPr>
                <w:rFonts w:ascii="JetBrains Mono" w:hAnsi="JetBrains Mono" w:cs="JetBrains Mono" w:eastAsia="JetBrains Mono"/>
                <w:b w:val="0"/>
                <w:i w:val="0"/>
                <w:sz w:val="18"/>
              </w:rPr>
              <w:t>Logistic Regression</w:t>
            </w:r>
          </w:p>
        </w:tc>
      </w:tr>
      <w:tr>
        <w:tc>
          <w:tcPr>
            <w:tcW w:type="dxa" w:w="1984"/>
          </w:tcPr>
          <w:p>
            <w:pPr>
              <w:spacing w:before="40" w:after="40"/>
              <w:jc w:val="left"/>
            </w:pPr>
            <w:r/>
            <w:r>
              <w:rPr>
                <w:rFonts w:ascii="JetBrains Mono" w:hAnsi="JetBrains Mono" w:cs="JetBrains Mono" w:eastAsia="JetBrains Mono"/>
                <w:b w:val="0"/>
                <w:i w:val="0"/>
                <w:sz w:val="18"/>
              </w:rPr>
              <w:t>ML</w:t>
            </w:r>
          </w:p>
        </w:tc>
        <w:tc>
          <w:tcPr>
            <w:tcW w:type="dxa" w:w="6803"/>
          </w:tcPr>
          <w:p>
            <w:pPr>
              <w:spacing w:before="40" w:after="40"/>
              <w:jc w:val="center"/>
            </w:pPr>
            <w:r/>
            <w:r>
              <w:rPr>
                <w:rFonts w:ascii="JetBrains Mono" w:hAnsi="JetBrains Mono" w:cs="JetBrains Mono" w:eastAsia="JetBrains Mono"/>
                <w:b w:val="0"/>
                <w:i w:val="0"/>
                <w:sz w:val="18"/>
              </w:rPr>
              <w:t>Machine Learning</w:t>
            </w:r>
          </w:p>
        </w:tc>
      </w:tr>
      <w:tr>
        <w:tc>
          <w:tcPr>
            <w:tcW w:type="dxa" w:w="1984"/>
          </w:tcPr>
          <w:p>
            <w:pPr>
              <w:spacing w:before="40" w:after="40"/>
              <w:jc w:val="left"/>
            </w:pPr>
            <w:r/>
            <w:r>
              <w:rPr>
                <w:rFonts w:ascii="JetBrains Mono" w:hAnsi="JetBrains Mono" w:cs="JetBrains Mono" w:eastAsia="JetBrains Mono"/>
                <w:b w:val="0"/>
                <w:i w:val="0"/>
                <w:sz w:val="18"/>
              </w:rPr>
              <w:t>PD</w:t>
            </w:r>
          </w:p>
        </w:tc>
        <w:tc>
          <w:tcPr>
            <w:tcW w:type="dxa" w:w="6803"/>
          </w:tcPr>
          <w:p>
            <w:pPr>
              <w:spacing w:before="40" w:after="40"/>
              <w:jc w:val="center"/>
            </w:pPr>
            <w:r/>
            <w:r>
              <w:rPr>
                <w:rFonts w:ascii="JetBrains Mono" w:hAnsi="JetBrains Mono" w:cs="JetBrains Mono" w:eastAsia="JetBrains Mono"/>
                <w:b w:val="0"/>
                <w:i w:val="0"/>
                <w:sz w:val="18"/>
              </w:rPr>
              <w:t>Probability of Default</w:t>
            </w:r>
          </w:p>
        </w:tc>
      </w:tr>
      <w:tr>
        <w:tc>
          <w:tcPr>
            <w:tcW w:type="dxa" w:w="1984"/>
          </w:tcPr>
          <w:p>
            <w:pPr>
              <w:spacing w:before="40" w:after="40"/>
              <w:jc w:val="left"/>
            </w:pPr>
            <w:r/>
            <w:r>
              <w:rPr>
                <w:rFonts w:ascii="JetBrains Mono" w:hAnsi="JetBrains Mono" w:cs="JetBrains Mono" w:eastAsia="JetBrains Mono"/>
                <w:b w:val="0"/>
                <w:i w:val="0"/>
                <w:sz w:val="18"/>
              </w:rPr>
              <w:t>PDO</w:t>
            </w:r>
          </w:p>
        </w:tc>
        <w:tc>
          <w:tcPr>
            <w:tcW w:type="dxa" w:w="6803"/>
          </w:tcPr>
          <w:p>
            <w:pPr>
              <w:spacing w:before="40" w:after="40"/>
              <w:jc w:val="center"/>
            </w:pPr>
            <w:r/>
            <w:r>
              <w:rPr>
                <w:rFonts w:ascii="JetBrains Mono" w:hAnsi="JetBrains Mono" w:cs="JetBrains Mono" w:eastAsia="JetBrains Mono"/>
                <w:b w:val="0"/>
                <w:i w:val="0"/>
                <w:sz w:val="18"/>
              </w:rPr>
              <w:t>Points to Double the Odds (scorecard parameter)</w:t>
            </w:r>
          </w:p>
        </w:tc>
      </w:tr>
      <w:tr>
        <w:tc>
          <w:tcPr>
            <w:tcW w:type="dxa" w:w="1984"/>
          </w:tcPr>
          <w:p>
            <w:pPr>
              <w:spacing w:before="40" w:after="40"/>
              <w:jc w:val="left"/>
            </w:pPr>
            <w:r/>
            <w:r>
              <w:rPr>
                <w:rFonts w:ascii="JetBrains Mono" w:hAnsi="JetBrains Mono" w:cs="JetBrains Mono" w:eastAsia="JetBrains Mono"/>
                <w:b w:val="0"/>
                <w:i w:val="0"/>
                <w:sz w:val="18"/>
              </w:rPr>
              <w:t>PSI</w:t>
            </w:r>
          </w:p>
        </w:tc>
        <w:tc>
          <w:tcPr>
            <w:tcW w:type="dxa" w:w="6803"/>
          </w:tcPr>
          <w:p>
            <w:pPr>
              <w:spacing w:before="40" w:after="40"/>
              <w:jc w:val="center"/>
            </w:pPr>
            <w:r/>
            <w:r>
              <w:rPr>
                <w:rFonts w:ascii="JetBrains Mono" w:hAnsi="JetBrains Mono" w:cs="JetBrains Mono" w:eastAsia="JetBrains Mono"/>
                <w:b w:val="0"/>
                <w:i w:val="0"/>
                <w:sz w:val="18"/>
              </w:rPr>
              <w:t>Population Stability Index</w:t>
            </w:r>
          </w:p>
        </w:tc>
      </w:tr>
      <w:tr>
        <w:tc>
          <w:tcPr>
            <w:tcW w:type="dxa" w:w="1984"/>
          </w:tcPr>
          <w:p>
            <w:pPr>
              <w:spacing w:before="40" w:after="40"/>
              <w:jc w:val="left"/>
            </w:pPr>
            <w:r/>
            <w:r>
              <w:rPr>
                <w:rFonts w:ascii="JetBrains Mono" w:hAnsi="JetBrains Mono" w:cs="JetBrains Mono" w:eastAsia="JetBrains Mono"/>
                <w:b w:val="0"/>
                <w:i w:val="0"/>
                <w:sz w:val="18"/>
              </w:rPr>
              <w:t>PR-AUC</w:t>
            </w:r>
          </w:p>
        </w:tc>
        <w:tc>
          <w:tcPr>
            <w:tcW w:type="dxa" w:w="6803"/>
          </w:tcPr>
          <w:p>
            <w:pPr>
              <w:spacing w:before="40" w:after="40"/>
              <w:jc w:val="center"/>
            </w:pPr>
            <w:r/>
            <w:r>
              <w:rPr>
                <w:rFonts w:ascii="JetBrains Mono" w:hAnsi="JetBrains Mono" w:cs="JetBrains Mono" w:eastAsia="JetBrains Mono"/>
                <w:b w:val="0"/>
                <w:i w:val="0"/>
                <w:sz w:val="18"/>
              </w:rPr>
              <w:t>Area Under the Precision-Recall Curve</w:t>
            </w:r>
          </w:p>
        </w:tc>
      </w:tr>
      <w:tr>
        <w:tc>
          <w:tcPr>
            <w:tcW w:type="dxa" w:w="1984"/>
          </w:tcPr>
          <w:p>
            <w:pPr>
              <w:spacing w:before="40" w:after="40"/>
              <w:jc w:val="left"/>
            </w:pPr>
            <w:r/>
            <w:r>
              <w:rPr>
                <w:rFonts w:ascii="JetBrains Mono" w:hAnsi="JetBrains Mono" w:cs="JetBrains Mono" w:eastAsia="JetBrains Mono"/>
                <w:b w:val="0"/>
                <w:i w:val="0"/>
                <w:sz w:val="18"/>
              </w:rPr>
              <w:t>ROC</w:t>
            </w:r>
          </w:p>
        </w:tc>
        <w:tc>
          <w:tcPr>
            <w:tcW w:type="dxa" w:w="6803"/>
          </w:tcPr>
          <w:p>
            <w:pPr>
              <w:spacing w:before="40" w:after="40"/>
              <w:jc w:val="center"/>
            </w:pPr>
            <w:r/>
            <w:r>
              <w:rPr>
                <w:rFonts w:ascii="JetBrains Mono" w:hAnsi="JetBrains Mono" w:cs="JetBrains Mono" w:eastAsia="JetBrains Mono"/>
                <w:b w:val="0"/>
                <w:i w:val="0"/>
                <w:sz w:val="18"/>
              </w:rPr>
              <w:t>Receiver Operating Characteristic</w:t>
            </w:r>
          </w:p>
        </w:tc>
      </w:tr>
      <w:tr>
        <w:tc>
          <w:tcPr>
            <w:tcW w:type="dxa" w:w="1984"/>
          </w:tcPr>
          <w:p>
            <w:pPr>
              <w:spacing w:before="40" w:after="40"/>
              <w:jc w:val="left"/>
            </w:pPr>
            <w:r/>
            <w:r>
              <w:rPr>
                <w:rFonts w:ascii="JetBrains Mono" w:hAnsi="JetBrains Mono" w:cs="JetBrains Mono" w:eastAsia="JetBrains Mono"/>
                <w:b w:val="0"/>
                <w:i w:val="0"/>
                <w:sz w:val="18"/>
              </w:rPr>
              <w:t>SCD</w:t>
            </w:r>
          </w:p>
        </w:tc>
        <w:tc>
          <w:tcPr>
            <w:tcW w:type="dxa" w:w="6803"/>
          </w:tcPr>
          <w:p>
            <w:pPr>
              <w:spacing w:before="40" w:after="40"/>
              <w:jc w:val="center"/>
            </w:pPr>
            <w:r/>
            <w:r>
              <w:rPr>
                <w:rFonts w:ascii="JetBrains Mono" w:hAnsi="JetBrains Mono" w:cs="JetBrains Mono" w:eastAsia="JetBrains Mono"/>
                <w:b w:val="0"/>
                <w:i w:val="0"/>
                <w:sz w:val="18"/>
              </w:rPr>
              <w:t>Slowly Changing Dimension</w:t>
            </w:r>
          </w:p>
        </w:tc>
      </w:tr>
      <w:tr>
        <w:tc>
          <w:tcPr>
            <w:tcW w:type="dxa" w:w="1984"/>
          </w:tcPr>
          <w:p>
            <w:pPr>
              <w:spacing w:before="40" w:after="40"/>
              <w:jc w:val="left"/>
            </w:pPr>
            <w:r/>
            <w:r>
              <w:rPr>
                <w:rFonts w:ascii="JetBrains Mono" w:hAnsi="JetBrains Mono" w:cs="JetBrains Mono" w:eastAsia="JetBrains Mono"/>
                <w:b w:val="0"/>
                <w:i w:val="0"/>
                <w:sz w:val="18"/>
              </w:rPr>
              <w:t>SHAP</w:t>
            </w:r>
          </w:p>
        </w:tc>
        <w:tc>
          <w:tcPr>
            <w:tcW w:type="dxa" w:w="6803"/>
          </w:tcPr>
          <w:p>
            <w:pPr>
              <w:spacing w:before="40" w:after="40"/>
              <w:jc w:val="center"/>
            </w:pPr>
            <w:r/>
            <w:r>
              <w:rPr>
                <w:rFonts w:ascii="JetBrains Mono" w:hAnsi="JetBrains Mono" w:cs="JetBrains Mono" w:eastAsia="JetBrains Mono"/>
                <w:b w:val="0"/>
                <w:i w:val="0"/>
                <w:sz w:val="18"/>
              </w:rPr>
              <w:t>SHapley Additive exPlanations</w:t>
            </w:r>
          </w:p>
        </w:tc>
      </w:tr>
      <w:tr>
        <w:tc>
          <w:tcPr>
            <w:tcW w:type="dxa" w:w="1984"/>
          </w:tcPr>
          <w:p>
            <w:pPr>
              <w:spacing w:before="40" w:after="40"/>
              <w:jc w:val="left"/>
            </w:pPr>
            <w:r/>
            <w:r>
              <w:rPr>
                <w:rFonts w:ascii="JetBrains Mono" w:hAnsi="JetBrains Mono" w:cs="JetBrains Mono" w:eastAsia="JetBrains Mono"/>
                <w:b w:val="0"/>
                <w:i w:val="0"/>
                <w:sz w:val="18"/>
              </w:rPr>
              <w:t>SQL</w:t>
            </w:r>
          </w:p>
        </w:tc>
        <w:tc>
          <w:tcPr>
            <w:tcW w:type="dxa" w:w="6803"/>
          </w:tcPr>
          <w:p>
            <w:pPr>
              <w:spacing w:before="40" w:after="40"/>
              <w:jc w:val="center"/>
            </w:pPr>
            <w:r/>
            <w:r>
              <w:rPr>
                <w:rFonts w:ascii="JetBrains Mono" w:hAnsi="JetBrains Mono" w:cs="JetBrains Mono" w:eastAsia="JetBrains Mono"/>
                <w:b w:val="0"/>
                <w:i w:val="0"/>
                <w:sz w:val="18"/>
              </w:rPr>
              <w:t>Structured Query Language</w:t>
            </w:r>
          </w:p>
        </w:tc>
      </w:tr>
      <w:tr>
        <w:tc>
          <w:tcPr>
            <w:tcW w:type="dxa" w:w="1984"/>
          </w:tcPr>
          <w:p>
            <w:pPr>
              <w:spacing w:before="40" w:after="40"/>
              <w:jc w:val="left"/>
            </w:pPr>
            <w:r/>
            <w:r>
              <w:rPr>
                <w:rFonts w:ascii="JetBrains Mono" w:hAnsi="JetBrains Mono" w:cs="JetBrains Mono" w:eastAsia="JetBrains Mono"/>
                <w:b w:val="0"/>
                <w:i w:val="0"/>
                <w:sz w:val="18"/>
              </w:rPr>
              <w:t>τ</w:t>
            </w:r>
          </w:p>
        </w:tc>
        <w:tc>
          <w:tcPr>
            <w:tcW w:type="dxa" w:w="6803"/>
          </w:tcPr>
          <w:p>
            <w:pPr>
              <w:spacing w:before="40" w:after="40"/>
              <w:jc w:val="center"/>
            </w:pPr>
            <w:r/>
            <w:r>
              <w:rPr>
                <w:rFonts w:ascii="JetBrains Mono" w:hAnsi="JetBrains Mono" w:cs="JetBrains Mono" w:eastAsia="JetBrains Mono"/>
                <w:b w:val="0"/>
                <w:i w:val="0"/>
                <w:sz w:val="18"/>
              </w:rPr>
              <w:t>Decision threshold</w:t>
            </w:r>
          </w:p>
        </w:tc>
      </w:tr>
    </w:tbl>
    <w:p>
      <w:r>
        <w:br w:type="page"/>
      </w:r>
    </w:p>
    <w:p>
      <w:pPr>
        <w:pageBreakBefore w:val="0"/>
        <w:spacing w:before="240" w:after="360"/>
        <w:jc w:val="center"/>
      </w:pPr>
      <w:r>
        <w:rPr>
          <w:rFonts w:ascii="JetBrains Mono" w:hAnsi="JetBrains Mono" w:cs="JetBrains Mono" w:eastAsia="JetBrains Mono"/>
          <w:b/>
          <w:i w:val="0"/>
          <w:color w:val="ED1C24"/>
          <w:sz w:val="40"/>
        </w:rPr>
        <w:t>CHAPTER 1:  OVERVIEW</w:t>
      </w:r>
    </w:p>
    <w:p>
      <w:pPr>
        <w:spacing w:before="280" w:after="120"/>
      </w:pPr>
      <w:r>
        <w:rPr>
          <w:rFonts w:ascii="JetBrains Mono" w:hAnsi="JetBrains Mono" w:cs="JetBrains Mono" w:eastAsia="JetBrains Mono"/>
          <w:b/>
          <w:i w:val="0"/>
          <w:color w:val="0F0F0F"/>
          <w:sz w:val="28"/>
        </w:rPr>
        <w:t>1.1.  Topic Overview</w:t>
      </w:r>
    </w:p>
    <w:p>
      <w:pPr>
        <w:spacing w:before="160" w:after="60"/>
      </w:pPr>
      <w:r>
        <w:rPr>
          <w:rFonts w:ascii="JetBrains Mono" w:hAnsi="JetBrains Mono" w:cs="JetBrains Mono" w:eastAsia="JetBrains Mono"/>
          <w:b/>
          <w:i w:val="0"/>
          <w:color w:val="0F0F0F"/>
          <w:sz w:val="24"/>
        </w:rPr>
        <w:t>1.1.1.  Rationale for Topic Selection</w:t>
      </w:r>
    </w:p>
    <w:p>
      <w:pPr>
        <w:spacing w:before="0" w:after="120" w:line="336" w:lineRule="auto"/>
        <w:ind w:firstLine="283"/>
      </w:pPr>
      <w:r>
        <w:rPr>
          <w:rFonts w:ascii="Times New Roman" w:hAnsi="Times New Roman" w:cs="Times New Roman" w:eastAsia="Times New Roman"/>
          <w:b w:val="0"/>
          <w:i w:val="0"/>
          <w:sz w:val="24"/>
        </w:rPr>
        <w:t>Home Credit Group serves borrowers with thin or absent credit files in emerging markets, where traditional scoring systems leave entire segments invisible.  Predicting the probability of default (PD) for these applicants is the central challenge of the company's underwriting process.  The Kaggle Home Credit Default Risk competition (2018) released a realistic snapshot of seven months of origination data, and the resulting modelling problem has become a benchmark for applied credit-risk analytics.</w:t>
      </w:r>
    </w:p>
    <w:p>
      <w:pPr>
        <w:spacing w:before="0" w:after="120" w:line="336" w:lineRule="auto"/>
        <w:ind w:firstLine="283"/>
      </w:pPr>
      <w:r>
        <w:rPr>
          <w:rFonts w:ascii="Times New Roman" w:hAnsi="Times New Roman" w:cs="Times New Roman" w:eastAsia="Times New Roman"/>
          <w:b w:val="0"/>
          <w:i w:val="0"/>
          <w:sz w:val="24"/>
        </w:rPr>
        <w:t>Building an end-to-end PD model from raw CSVs is an excellent way to acquire hands-on experience in feature engineering, gradient-boosted modelling, calibration, scorecard construction, and deployment.  The problem is also a small but realistic instance of the same task that production credit-risk teams solve every day.</w:t>
      </w:r>
    </w:p>
    <w:p>
      <w:pPr>
        <w:spacing w:before="160" w:after="60"/>
      </w:pPr>
      <w:r>
        <w:rPr>
          <w:rFonts w:ascii="JetBrains Mono" w:hAnsi="JetBrains Mono" w:cs="JetBrains Mono" w:eastAsia="JetBrains Mono"/>
          <w:b/>
          <w:i w:val="0"/>
          <w:color w:val="0F0F0F"/>
          <w:sz w:val="24"/>
        </w:rPr>
        <w:t>1.1.2.  Objectives of the Project</w:t>
      </w:r>
    </w:p>
    <w:p>
      <w:pPr>
        <w:pStyle w:val="ListBullet"/>
        <w:spacing w:after="60" w:line="312" w:lineRule="auto"/>
        <w:ind w:left="567" w:hanging="283"/>
      </w:pPr>
      <w:r>
        <w:rPr>
          <w:rFonts w:ascii="Times New Roman" w:hAnsi="Times New Roman" w:cs="Times New Roman" w:eastAsia="Times New Roman"/>
          <w:b w:val="0"/>
          <w:i w:val="0"/>
          <w:sz w:val="24"/>
        </w:rPr>
        <w:t>Understand the data structure of the seven raw tables and the relationships between them.</w:t>
      </w:r>
    </w:p>
    <w:p>
      <w:pPr>
        <w:pStyle w:val="ListBullet"/>
        <w:spacing w:after="60" w:line="312" w:lineRule="auto"/>
        <w:ind w:left="567" w:hanging="283"/>
      </w:pPr>
      <w:r>
        <w:rPr>
          <w:rFonts w:ascii="Times New Roman" w:hAnsi="Times New Roman" w:cs="Times New Roman" w:eastAsia="Times New Roman"/>
          <w:b w:val="0"/>
          <w:i w:val="0"/>
          <w:sz w:val="24"/>
        </w:rPr>
        <w:t>Engineer 200+ features from application attributes, behavioural history, and external credit scores.</w:t>
      </w:r>
    </w:p>
    <w:p>
      <w:pPr>
        <w:pStyle w:val="ListBullet"/>
        <w:spacing w:after="60" w:line="312" w:lineRule="auto"/>
        <w:ind w:left="567" w:hanging="283"/>
      </w:pPr>
      <w:r>
        <w:rPr>
          <w:rFonts w:ascii="Times New Roman" w:hAnsi="Times New Roman" w:cs="Times New Roman" w:eastAsia="Times New Roman"/>
          <w:b w:val="0"/>
          <w:i w:val="0"/>
          <w:sz w:val="24"/>
        </w:rPr>
        <w:t>Train and tune a gradient-boosted classifier (LightGBM) and benchmark it against logistic-regression baselines.</w:t>
      </w:r>
    </w:p>
    <w:p>
      <w:pPr>
        <w:pStyle w:val="ListBullet"/>
        <w:spacing w:after="60" w:line="312" w:lineRule="auto"/>
        <w:ind w:left="567" w:hanging="283"/>
      </w:pPr>
      <w:r>
        <w:rPr>
          <w:rFonts w:ascii="Times New Roman" w:hAnsi="Times New Roman" w:cs="Times New Roman" w:eastAsia="Times New Roman"/>
          <w:b w:val="0"/>
          <w:i w:val="0"/>
          <w:sz w:val="24"/>
        </w:rPr>
        <w:t>Calibrate the resulting probabilities and select a business-driven decision threshold.</w:t>
      </w:r>
    </w:p>
    <w:p>
      <w:pPr>
        <w:pStyle w:val="ListBullet"/>
        <w:spacing w:after="60" w:line="312" w:lineRule="auto"/>
        <w:ind w:left="567" w:hanging="283"/>
      </w:pPr>
      <w:r>
        <w:rPr>
          <w:rFonts w:ascii="Times New Roman" w:hAnsi="Times New Roman" w:cs="Times New Roman" w:eastAsia="Times New Roman"/>
          <w:b w:val="0"/>
          <w:i w:val="0"/>
          <w:sz w:val="24"/>
        </w:rPr>
        <w:t>Translate PD into a credit score and risk bands for business consumption.</w:t>
      </w:r>
    </w:p>
    <w:p>
      <w:pPr>
        <w:pStyle w:val="ListBullet"/>
        <w:spacing w:after="60" w:line="312" w:lineRule="auto"/>
        <w:ind w:left="567" w:hanging="283"/>
      </w:pPr>
      <w:r>
        <w:rPr>
          <w:rFonts w:ascii="Times New Roman" w:hAnsi="Times New Roman" w:cs="Times New Roman" w:eastAsia="Times New Roman"/>
          <w:b w:val="0"/>
          <w:i w:val="0"/>
          <w:sz w:val="24"/>
        </w:rPr>
        <w:t>Deploy the model through a Streamlit web app and a Docker image for non-technical stakeholders.</w:t>
      </w:r>
    </w:p>
    <w:p>
      <w:pPr>
        <w:spacing w:before="160" w:after="60"/>
      </w:pPr>
      <w:r>
        <w:rPr>
          <w:rFonts w:ascii="JetBrains Mono" w:hAnsi="JetBrains Mono" w:cs="JetBrains Mono" w:eastAsia="JetBrains Mono"/>
          <w:b/>
          <w:i w:val="0"/>
          <w:color w:val="0F0F0F"/>
          <w:sz w:val="24"/>
        </w:rPr>
        <w:t>1.1.3.  Research Subjects and Scope</w:t>
      </w:r>
    </w:p>
    <w:p>
      <w:pPr>
        <w:spacing w:before="0" w:after="60" w:line="336" w:lineRule="auto"/>
      </w:pPr>
      <w:r>
        <w:rPr>
          <w:rFonts w:ascii="Times New Roman" w:hAnsi="Times New Roman" w:cs="Times New Roman" w:eastAsia="Times New Roman"/>
          <w:b/>
          <w:i w:val="0"/>
          <w:sz w:val="24"/>
        </w:rPr>
        <w:t>a. Research Subjects</w:t>
      </w:r>
    </w:p>
    <w:p>
      <w:pPr>
        <w:pStyle w:val="ListBullet"/>
        <w:spacing w:after="60" w:line="312" w:lineRule="auto"/>
        <w:ind w:left="567" w:hanging="283"/>
      </w:pPr>
      <w:r>
        <w:rPr>
          <w:rFonts w:ascii="Times New Roman" w:hAnsi="Times New Roman" w:cs="Times New Roman" w:eastAsia="Times New Roman"/>
          <w:b w:val="0"/>
          <w:i w:val="0"/>
          <w:sz w:val="24"/>
        </w:rPr>
        <w:t>Application attributes from application_train.csv (target variable, demographics, financial summaries).</w:t>
      </w:r>
    </w:p>
    <w:p>
      <w:pPr>
        <w:pStyle w:val="ListBullet"/>
        <w:spacing w:after="60" w:line="312" w:lineRule="auto"/>
        <w:ind w:left="567" w:hanging="283"/>
      </w:pPr>
      <w:r>
        <w:rPr>
          <w:rFonts w:ascii="Times New Roman" w:hAnsi="Times New Roman" w:cs="Times New Roman" w:eastAsia="Times New Roman"/>
          <w:b w:val="0"/>
          <w:i w:val="0"/>
          <w:sz w:val="24"/>
        </w:rPr>
        <w:t>Behavioural history aggregated from bureau.csv, previous_application.csv, installments_payments.csv, POS_CASH_balance.csv and credit_card_balance.csv.</w:t>
      </w:r>
    </w:p>
    <w:p>
      <w:pPr>
        <w:pStyle w:val="ListBullet"/>
        <w:spacing w:after="60" w:line="312" w:lineRule="auto"/>
        <w:ind w:left="567" w:hanging="283"/>
      </w:pPr>
      <w:r>
        <w:rPr>
          <w:rFonts w:ascii="Times New Roman" w:hAnsi="Times New Roman" w:cs="Times New Roman" w:eastAsia="Times New Roman"/>
          <w:b w:val="0"/>
          <w:i w:val="0"/>
          <w:sz w:val="24"/>
        </w:rPr>
        <w:t>External credit scores (EXT_SOURCE_1/2/3) and the engineered aggregates derived from them.</w:t>
      </w:r>
    </w:p>
    <w:p>
      <w:pPr>
        <w:spacing w:before="0" w:after="60" w:line="336" w:lineRule="auto"/>
      </w:pPr>
      <w:r>
        <w:rPr>
          <w:rFonts w:ascii="Times New Roman" w:hAnsi="Times New Roman" w:cs="Times New Roman" w:eastAsia="Times New Roman"/>
          <w:b/>
          <w:i w:val="0"/>
          <w:sz w:val="24"/>
        </w:rPr>
        <w:t>b. Research Scope</w:t>
      </w:r>
    </w:p>
    <w:p>
      <w:pPr>
        <w:pStyle w:val="ListBullet"/>
        <w:spacing w:after="60" w:line="312" w:lineRule="auto"/>
        <w:ind w:left="567" w:hanging="283"/>
      </w:pPr>
      <w:r>
        <w:rPr>
          <w:rFonts w:ascii="Times New Roman" w:hAnsi="Times New Roman" w:cs="Times New Roman" w:eastAsia="Times New Roman"/>
          <w:b w:val="0"/>
          <w:i w:val="0"/>
          <w:sz w:val="24"/>
        </w:rPr>
        <w:t>The work is conducted on a 12 750-row subsample to fit local compute constraints; the full 307 511 rows would lift the headline metrics further.</w:t>
      </w:r>
    </w:p>
    <w:p>
      <w:pPr>
        <w:pStyle w:val="ListBullet"/>
        <w:spacing w:after="60" w:line="312" w:lineRule="auto"/>
        <w:ind w:left="567" w:hanging="283"/>
      </w:pPr>
      <w:r>
        <w:rPr>
          <w:rFonts w:ascii="Times New Roman" w:hAnsi="Times New Roman" w:cs="Times New Roman" w:eastAsia="Times New Roman"/>
          <w:b w:val="0"/>
          <w:i w:val="0"/>
          <w:sz w:val="24"/>
        </w:rPr>
        <w:t>Modelling is restricted to PD estimation.  Pricing, expected loss and capital calculations are out of scope.</w:t>
      </w:r>
    </w:p>
    <w:p>
      <w:pPr>
        <w:pStyle w:val="ListBullet"/>
        <w:spacing w:after="60" w:line="312" w:lineRule="auto"/>
        <w:ind w:left="567" w:hanging="283"/>
      </w:pPr>
      <w:r>
        <w:rPr>
          <w:rFonts w:ascii="Times New Roman" w:hAnsi="Times New Roman" w:cs="Times New Roman" w:eastAsia="Times New Roman"/>
          <w:b w:val="0"/>
          <w:i w:val="0"/>
          <w:sz w:val="24"/>
        </w:rPr>
        <w:t>The deployment surface is a Streamlit app and a Docker image; a production REST API is left for future work.</w:t>
      </w:r>
    </w:p>
    <w:p>
      <w:pPr>
        <w:spacing w:before="160" w:after="60"/>
      </w:pPr>
      <w:r>
        <w:rPr>
          <w:rFonts w:ascii="JetBrains Mono" w:hAnsi="JetBrains Mono" w:cs="JetBrains Mono" w:eastAsia="JetBrains Mono"/>
          <w:b/>
          <w:i w:val="0"/>
          <w:color w:val="0F0F0F"/>
          <w:sz w:val="24"/>
        </w:rPr>
        <w:t>1.1.4.  Report Structure</w:t>
      </w:r>
    </w:p>
    <w:p>
      <w:pPr>
        <w:spacing w:before="0" w:after="120" w:line="336" w:lineRule="auto"/>
      </w:pPr>
      <w:r>
        <w:rPr>
          <w:rFonts w:ascii="Times New Roman" w:hAnsi="Times New Roman" w:cs="Times New Roman" w:eastAsia="Times New Roman"/>
          <w:b w:val="0"/>
          <w:i w:val="0"/>
          <w:sz w:val="24"/>
        </w:rPr>
        <w:t>The report is divided into five chapters:</w:t>
      </w:r>
    </w:p>
    <w:p>
      <w:pPr>
        <w:pStyle w:val="ListBullet"/>
        <w:spacing w:after="60" w:line="312" w:lineRule="auto"/>
        <w:ind w:left="567" w:hanging="283"/>
      </w:pPr>
      <w:r>
        <w:rPr>
          <w:rFonts w:ascii="Times New Roman" w:hAnsi="Times New Roman" w:cs="Times New Roman" w:eastAsia="Times New Roman"/>
          <w:b w:val="0"/>
          <w:i w:val="0"/>
          <w:sz w:val="24"/>
        </w:rPr>
        <w:t>Chapter 1 — Overview: rationale, objectives, scope, and report structure.</w:t>
      </w:r>
    </w:p>
    <w:p>
      <w:pPr>
        <w:pStyle w:val="ListBullet"/>
        <w:spacing w:after="60" w:line="312" w:lineRule="auto"/>
        <w:ind w:left="567" w:hanging="283"/>
      </w:pPr>
      <w:r>
        <w:rPr>
          <w:rFonts w:ascii="Times New Roman" w:hAnsi="Times New Roman" w:cs="Times New Roman" w:eastAsia="Times New Roman"/>
          <w:b w:val="0"/>
          <w:i w:val="0"/>
          <w:sz w:val="24"/>
        </w:rPr>
        <w:t>Chapter 2 — Theoretical Background: the credit-risk and machine-learning concepts underpinning the pipeline.</w:t>
      </w:r>
    </w:p>
    <w:p>
      <w:pPr>
        <w:pStyle w:val="ListBullet"/>
        <w:spacing w:after="60" w:line="312" w:lineRule="auto"/>
        <w:ind w:left="567" w:hanging="283"/>
      </w:pPr>
      <w:r>
        <w:rPr>
          <w:rFonts w:ascii="Times New Roman" w:hAnsi="Times New Roman" w:cs="Times New Roman" w:eastAsia="Times New Roman"/>
          <w:b w:val="0"/>
          <w:i w:val="0"/>
          <w:sz w:val="24"/>
        </w:rPr>
        <w:t>Chapter 3 — Methodology: the data preparation, modelling, calibration, and threshold-selection pipeline.</w:t>
      </w:r>
    </w:p>
    <w:p>
      <w:pPr>
        <w:pStyle w:val="ListBullet"/>
        <w:spacing w:after="60" w:line="312" w:lineRule="auto"/>
        <w:ind w:left="567" w:hanging="283"/>
      </w:pPr>
      <w:r>
        <w:rPr>
          <w:rFonts w:ascii="Times New Roman" w:hAnsi="Times New Roman" w:cs="Times New Roman" w:eastAsia="Times New Roman"/>
          <w:b w:val="0"/>
          <w:i w:val="0"/>
          <w:sz w:val="24"/>
        </w:rPr>
        <w:t>Chapter 4 — Results and Discussion: model performance, evaluation curves, feature importance, business impact.</w:t>
      </w:r>
    </w:p>
    <w:p>
      <w:pPr>
        <w:pStyle w:val="ListBullet"/>
        <w:spacing w:after="60" w:line="312" w:lineRule="auto"/>
        <w:ind w:left="567" w:hanging="283"/>
      </w:pPr>
      <w:r>
        <w:rPr>
          <w:rFonts w:ascii="Times New Roman" w:hAnsi="Times New Roman" w:cs="Times New Roman" w:eastAsia="Times New Roman"/>
          <w:b w:val="0"/>
          <w:i w:val="0"/>
          <w:sz w:val="24"/>
        </w:rPr>
        <w:t>Chapter 5 — Conclusion and Future Work: summary of findings and directions for further work.</w:t>
      </w:r>
    </w:p>
    <w:p>
      <w:pPr>
        <w:spacing w:before="280" w:after="120"/>
      </w:pPr>
      <w:r>
        <w:rPr>
          <w:rFonts w:ascii="JetBrains Mono" w:hAnsi="JetBrains Mono" w:cs="JetBrains Mono" w:eastAsia="JetBrains Mono"/>
          <w:b/>
          <w:i w:val="0"/>
          <w:color w:val="0F0F0F"/>
          <w:sz w:val="28"/>
        </w:rPr>
        <w:t>1.2.  Dataset Overview</w:t>
      </w:r>
    </w:p>
    <w:p>
      <w:pPr>
        <w:spacing w:before="0" w:after="120" w:line="336" w:lineRule="auto"/>
        <w:ind w:firstLine="283"/>
      </w:pPr>
      <w:r>
        <w:rPr>
          <w:rFonts w:ascii="Times New Roman" w:hAnsi="Times New Roman" w:cs="Times New Roman" w:eastAsia="Times New Roman"/>
          <w:b w:val="0"/>
          <w:i w:val="0"/>
          <w:sz w:val="24"/>
        </w:rPr>
        <w:t>The dataset consists of 307 511 customers with 122 raw features, plus six auxiliary tables.  Each customer is identified by SK_ID_CURR and may have zero or more records in each auxiliary table.  The default rate is approximately 8%, so the problem is mildly imbalanced and naive accuracy exceeds 92% — a number that is therefore uninformative.</w:t>
      </w:r>
    </w:p>
    <w:p>
      <w:pPr>
        <w:spacing w:before="120" w:after="40"/>
        <w:jc w:val="center"/>
      </w:pPr>
      <w:r>
        <w:drawing>
          <wp:inline xmlns:a="http://schemas.openxmlformats.org/drawingml/2006/main" xmlns:pic="http://schemas.openxmlformats.org/drawingml/2006/picture">
            <wp:extent cx="5580000" cy="1568432"/>
            <wp:docPr id="2" name="Picture 2"/>
            <wp:cNvGraphicFramePr>
              <a:graphicFrameLocks noChangeAspect="1"/>
            </wp:cNvGraphicFramePr>
            <a:graphic>
              <a:graphicData uri="http://schemas.openxmlformats.org/drawingml/2006/picture">
                <pic:pic>
                  <pic:nvPicPr>
                    <pic:cNvPr id="0" name="eda_target_distribution.png"/>
                    <pic:cNvPicPr/>
                  </pic:nvPicPr>
                  <pic:blipFill>
                    <a:blip r:embed="rId10"/>
                    <a:stretch>
                      <a:fillRect/>
                    </a:stretch>
                  </pic:blipFill>
                  <pic:spPr>
                    <a:xfrm>
                      <a:off x="0" y="0"/>
                      <a:ext cx="5580000" cy="1568432"/>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2.  Target distribution (counts, pie) and default rate by age group.</w:t>
      </w:r>
    </w:p>
    <w:p>
      <w:pPr>
        <w:spacing w:before="0" w:after="160" w:line="336" w:lineRule="auto"/>
        <w:ind w:firstLine="283"/>
      </w:pPr>
      <w:r>
        <w:rPr>
          <w:rFonts w:ascii="Times New Roman" w:hAnsi="Times New Roman" w:cs="Times New Roman" w:eastAsia="Times New Roman"/>
          <w:b w:val="0"/>
          <w:i w:val="0"/>
          <w:sz w:val="24"/>
        </w:rPr>
        <w:t>Figure 3 shows the top 20 columns by missing rate.  About 50 columns have meaningful missingness, dominated by housing information and the three external scores (EXT_SOURCE_1/2/3).  We treat EXT_SOURCE missingness as a feature in its own right (EXT_SOURCE_COUNT) rather than imputing aggressively, since the presence of an external score is itself a credit signal.</w:t>
      </w:r>
    </w:p>
    <w:p>
      <w:pPr>
        <w:spacing w:before="120" w:after="40"/>
        <w:jc w:val="center"/>
      </w:pPr>
      <w:r>
        <w:drawing>
          <wp:inline xmlns:a="http://schemas.openxmlformats.org/drawingml/2006/main" xmlns:pic="http://schemas.openxmlformats.org/drawingml/2006/picture">
            <wp:extent cx="5580000" cy="1968230"/>
            <wp:docPr id="3" name="Picture 3"/>
            <wp:cNvGraphicFramePr>
              <a:graphicFrameLocks noChangeAspect="1"/>
            </wp:cNvGraphicFramePr>
            <a:graphic>
              <a:graphicData uri="http://schemas.openxmlformats.org/drawingml/2006/picture">
                <pic:pic>
                  <pic:nvPicPr>
                    <pic:cNvPr id="0" name="eda_missing_values.png"/>
                    <pic:cNvPicPr/>
                  </pic:nvPicPr>
                  <pic:blipFill>
                    <a:blip r:embed="rId11"/>
                    <a:stretch>
                      <a:fillRect/>
                    </a:stretch>
                  </pic:blipFill>
                  <pic:spPr>
                    <a:xfrm>
                      <a:off x="0" y="0"/>
                      <a:ext cx="5580000" cy="1968230"/>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3.  Top 20 columns by missing rate.</w:t>
      </w:r>
    </w:p>
    <w:p>
      <w:r>
        <w:br w:type="page"/>
      </w:r>
    </w:p>
    <w:p>
      <w:pPr>
        <w:pageBreakBefore w:val="0"/>
        <w:spacing w:before="240" w:after="360"/>
        <w:jc w:val="center"/>
      </w:pPr>
      <w:r>
        <w:rPr>
          <w:rFonts w:ascii="JetBrains Mono" w:hAnsi="JetBrains Mono" w:cs="JetBrains Mono" w:eastAsia="JetBrains Mono"/>
          <w:b/>
          <w:i w:val="0"/>
          <w:color w:val="ED1C24"/>
          <w:sz w:val="40"/>
        </w:rPr>
        <w:t>CHAPTER 2:  THEORETICAL BACKGROUND</w:t>
      </w:r>
    </w:p>
    <w:p>
      <w:pPr>
        <w:spacing w:before="280" w:after="120"/>
      </w:pPr>
      <w:r>
        <w:rPr>
          <w:rFonts w:ascii="JetBrains Mono" w:hAnsi="JetBrains Mono" w:cs="JetBrains Mono" w:eastAsia="JetBrains Mono"/>
          <w:b/>
          <w:i w:val="0"/>
          <w:color w:val="0F0F0F"/>
          <w:sz w:val="28"/>
        </w:rPr>
        <w:t>2.1.  Probability of Default in Consumer Credit</w:t>
      </w:r>
    </w:p>
    <w:p>
      <w:pPr>
        <w:spacing w:before="0" w:after="120" w:line="336" w:lineRule="auto"/>
        <w:ind w:firstLine="283"/>
      </w:pPr>
      <w:r>
        <w:rPr>
          <w:rFonts w:ascii="Times New Roman" w:hAnsi="Times New Roman" w:cs="Times New Roman" w:eastAsia="Times New Roman"/>
          <w:b w:val="0"/>
          <w:i w:val="0"/>
          <w:sz w:val="24"/>
        </w:rPr>
        <w:t>The probability of default (PD) is the probability that a borrower fails to meet a contractual obligation over a given horizon.  In consumer credit, PD is a key input to credit approval, limit setting, pricing, and capital calculation.  Unlike wholesale banking, where PD is estimated from long historical default series, consumer-credit PD must be estimated from a snapshot of applicant attributes and limited behavioural history.  Machine-learning models, and especially gradient-boosted decision trees, have become the workhorse of modern PD estimation [Hand &amp; Henley, 1997; Siddiqui, 2013].</w:t>
      </w:r>
    </w:p>
    <w:p>
      <w:pPr>
        <w:spacing w:before="280" w:after="120"/>
      </w:pPr>
      <w:r>
        <w:rPr>
          <w:rFonts w:ascii="JetBrains Mono" w:hAnsi="JetBrains Mono" w:cs="JetBrains Mono" w:eastAsia="JetBrains Mono"/>
          <w:b/>
          <w:i w:val="0"/>
          <w:color w:val="0F0F0F"/>
          <w:sz w:val="28"/>
        </w:rPr>
        <w:t>2.2.  Scorecards and Risk Bands</w:t>
      </w:r>
    </w:p>
    <w:p>
      <w:pPr>
        <w:spacing w:before="0" w:after="120" w:line="336" w:lineRule="auto"/>
        <w:ind w:firstLine="283"/>
      </w:pPr>
      <w:r>
        <w:rPr>
          <w:rFonts w:ascii="Times New Roman" w:hAnsi="Times New Roman" w:cs="Times New Roman" w:eastAsia="Times New Roman"/>
          <w:b w:val="0"/>
          <w:i w:val="0"/>
          <w:sz w:val="24"/>
        </w:rPr>
        <w:t>A credit score is a monotonic transformation of PD that is easier to communicate to non-technical stakeholders and to embed in policy rules.  The standard Siddiqui (2013) parameterisation sets a base score at a chosen odds level and a fixed number of points to double the odds (PDO).  Equation (1) gives the linear-in-log-odds mapping:</w:t>
      </w:r>
    </w:p>
    <w:p>
      <w:pPr>
        <w:spacing w:before="80" w:after="80"/>
        <w:jc w:val="center"/>
      </w:pPr>
      <w:r>
        <w:rPr>
          <w:rFonts w:ascii="JetBrains Mono" w:hAnsi="JetBrains Mono" w:cs="JetBrains Mono" w:eastAsia="JetBrains Mono"/>
          <w:b w:val="0"/>
          <w:i w:val="0"/>
          <w:sz w:val="22"/>
        </w:rPr>
        <w:t>score(PD)  =  offset  −  factor · ln( PD / (1 − PD) )</w:t>
      </w:r>
      <w:r>
        <w:rPr>
          <w:rFonts w:ascii="Times New Roman" w:hAnsi="Times New Roman" w:cs="Times New Roman" w:eastAsia="Times New Roman"/>
          <w:b w:val="0"/>
          <w:i/>
          <w:sz w:val="22"/>
        </w:rPr>
        <w:t xml:space="preserve">          (1)</w:t>
      </w:r>
    </w:p>
    <w:p>
      <w:pPr>
        <w:spacing w:before="0" w:after="120" w:line="336" w:lineRule="auto"/>
        <w:ind w:firstLine="283"/>
      </w:pPr>
      <w:r>
        <w:rPr>
          <w:rFonts w:ascii="Times New Roman" w:hAnsi="Times New Roman" w:cs="Times New Roman" w:eastAsia="Times New Roman"/>
          <w:b w:val="0"/>
          <w:i w:val="0"/>
          <w:sz w:val="24"/>
        </w:rPr>
        <w:t>Risk bands are coarse buckets of the score, typically five to seven.  Each band is associated with a policy action (auto-approve, manual review, decline) and a pricing tier.  Bands must be wide enough to make decisions robust to small score movements, but narrow enough to differentiate credit quality.  A common heuristic is to anchor band boundaries at quantiles of the score distribution and to verify that the empirical default rate is monotonic across bands.</w:t>
      </w:r>
    </w:p>
    <w:p>
      <w:pPr>
        <w:spacing w:before="280" w:after="120"/>
      </w:pPr>
      <w:r>
        <w:rPr>
          <w:rFonts w:ascii="JetBrains Mono" w:hAnsi="JetBrains Mono" w:cs="JetBrains Mono" w:eastAsia="JetBrains Mono"/>
          <w:b/>
          <w:i w:val="0"/>
          <w:color w:val="0F0F0F"/>
          <w:sz w:val="28"/>
        </w:rPr>
        <w:t>2.3.  Gradient Boosted Decision Trees</w:t>
      </w:r>
    </w:p>
    <w:p>
      <w:pPr>
        <w:spacing w:before="0" w:after="120" w:line="336" w:lineRule="auto"/>
        <w:ind w:firstLine="283"/>
      </w:pPr>
      <w:r>
        <w:rPr>
          <w:rFonts w:ascii="Times New Roman" w:hAnsi="Times New Roman" w:cs="Times New Roman" w:eastAsia="Times New Roman"/>
          <w:b w:val="0"/>
          <w:i w:val="0"/>
          <w:sz w:val="24"/>
        </w:rPr>
        <w:t>A gradient-boosted decision tree (GBDT) is an ensemble of shallow decision trees fit sequentially to the negative gradient of a loss function [Ke et al., 2017].  LightGBM, the implementation used in this work, adds two engineering innovations on top of standard GBDT: (i) histogram-based split finding, which discretises continuous features into a small number of bins, and (ii) leaf-wise tree growth with a max-leaves constraint, which converges faster than the level-wise growth of XGBoost on the same number of iterations.  Both innovations make LightGBM the fastest mainstream GBDT implementation on tabular data, and a natural default for credit-risk work.</w:t>
      </w:r>
    </w:p>
    <w:p>
      <w:pPr>
        <w:spacing w:before="280" w:after="120"/>
      </w:pPr>
      <w:r>
        <w:rPr>
          <w:rFonts w:ascii="JetBrains Mono" w:hAnsi="JetBrains Mono" w:cs="JetBrains Mono" w:eastAsia="JetBrains Mono"/>
          <w:b/>
          <w:i w:val="0"/>
          <w:color w:val="0F0F0F"/>
          <w:sz w:val="28"/>
        </w:rPr>
        <w:t>2.4.  Probability Calibration</w:t>
      </w:r>
    </w:p>
    <w:p>
      <w:pPr>
        <w:spacing w:before="0" w:after="120" w:line="336" w:lineRule="auto"/>
        <w:ind w:firstLine="283"/>
      </w:pPr>
      <w:r>
        <w:rPr>
          <w:rFonts w:ascii="Times New Roman" w:hAnsi="Times New Roman" w:cs="Times New Roman" w:eastAsia="Times New Roman"/>
          <w:b w:val="0"/>
          <w:i w:val="0"/>
          <w:sz w:val="24"/>
        </w:rPr>
        <w:t>GBDT scores are not, in general, well-calibrated probabilities.  For downstream applications that depend on absolute PD values (expected loss, pricing, scorecard), it is common to wrap the model in a calibration layer.  Two families of methods are widely used: Platt scaling (a single-parameter logistic regression on the score) [Platt, 1999] and isotonic regression (a non-parametric monotonic fit) [Zadrozny &amp; Elkan, 2002].  Isotonic regression is more flexible and tends to dominate when the validation set is large enough to support it, which is the case here.</w:t>
      </w:r>
    </w:p>
    <w:p>
      <w:pPr>
        <w:spacing w:before="80" w:after="80"/>
        <w:jc w:val="center"/>
      </w:pPr>
      <w:r>
        <w:rPr>
          <w:rFonts w:ascii="JetBrains Mono" w:hAnsi="JetBrains Mono" w:cs="JetBrains Mono" w:eastAsia="JetBrains Mono"/>
          <w:b w:val="0"/>
          <w:i w:val="0"/>
          <w:sz w:val="22"/>
        </w:rPr>
        <w:t>PD_cal(x)  =  f̂_iso( PD_raw(x) )</w:t>
      </w:r>
      <w:r>
        <w:rPr>
          <w:rFonts w:ascii="Times New Roman" w:hAnsi="Times New Roman" w:cs="Times New Roman" w:eastAsia="Times New Roman"/>
          <w:b w:val="0"/>
          <w:i/>
          <w:sz w:val="22"/>
        </w:rPr>
        <w:t xml:space="preserve">          (2)</w:t>
      </w:r>
    </w:p>
    <w:p>
      <w:pPr>
        <w:spacing w:before="280" w:after="120"/>
      </w:pPr>
      <w:r>
        <w:rPr>
          <w:rFonts w:ascii="JetBrains Mono" w:hAnsi="JetBrains Mono" w:cs="JetBrains Mono" w:eastAsia="JetBrains Mono"/>
          <w:b/>
          <w:i w:val="0"/>
          <w:color w:val="0F0F0F"/>
          <w:sz w:val="28"/>
        </w:rPr>
        <w:t>2.5.  Evaluation Metrics for Binary Classifiers under Class Imbalance</w:t>
      </w:r>
    </w:p>
    <w:p>
      <w:pPr>
        <w:spacing w:before="0" w:after="120" w:line="336" w:lineRule="auto"/>
        <w:ind w:firstLine="283"/>
      </w:pPr>
      <w:r>
        <w:rPr>
          <w:rFonts w:ascii="Times New Roman" w:hAnsi="Times New Roman" w:cs="Times New Roman" w:eastAsia="Times New Roman"/>
          <w:b w:val="0"/>
          <w:i w:val="0"/>
          <w:sz w:val="24"/>
        </w:rPr>
        <w:t>When the positive class is rare, accuracy is a misleading summary statistic.  Three metrics are widely used in credit scoring:</w:t>
      </w:r>
    </w:p>
    <w:p>
      <w:pPr>
        <w:pStyle w:val="ListBullet"/>
        <w:spacing w:after="60" w:line="312" w:lineRule="auto"/>
        <w:ind w:left="567" w:hanging="283"/>
      </w:pPr>
      <w:r>
        <w:rPr>
          <w:rFonts w:ascii="Times New Roman" w:hAnsi="Times New Roman" w:cs="Times New Roman" w:eastAsia="Times New Roman"/>
          <w:b w:val="0"/>
          <w:i w:val="0"/>
          <w:sz w:val="24"/>
        </w:rPr>
        <w:t>&lt;b&gt;AUC&lt;/b&gt; — the area under the ROC curve.  AUC is the probability that a randomly drawn defaulter is ranked higher than a randomly drawn non-defaulter.  AUC is invariant to the decision threshold and to the base rate, but it summarises performance across all thresholds and can mask weakness in the high-recall region.</w:t>
      </w:r>
    </w:p>
    <w:p>
      <w:pPr>
        <w:pStyle w:val="ListBullet"/>
        <w:spacing w:after="60" w:line="312" w:lineRule="auto"/>
        <w:ind w:left="567" w:hanging="283"/>
      </w:pPr>
      <w:r>
        <w:rPr>
          <w:rFonts w:ascii="Times New Roman" w:hAnsi="Times New Roman" w:cs="Times New Roman" w:eastAsia="Times New Roman"/>
          <w:b w:val="0"/>
          <w:i w:val="0"/>
          <w:sz w:val="24"/>
        </w:rPr>
        <w:t>&lt;b&gt;KS statistic&lt;/b&gt; — the maximum vertical distance between the cumulative distribution functions of PD in the two classes.  A KS above 0.30 is considered 'good' in consumer-credit scoring; a KS above 0.40 is 'excellent' [Siddiqui, 2013].</w:t>
      </w:r>
    </w:p>
    <w:p>
      <w:pPr>
        <w:pStyle w:val="ListBullet"/>
        <w:spacing w:after="60" w:line="312" w:lineRule="auto"/>
        <w:ind w:left="567" w:hanging="283"/>
      </w:pPr>
      <w:r>
        <w:rPr>
          <w:rFonts w:ascii="Times New Roman" w:hAnsi="Times New Roman" w:cs="Times New Roman" w:eastAsia="Times New Roman"/>
          <w:b w:val="0"/>
          <w:i w:val="0"/>
          <w:sz w:val="24"/>
        </w:rPr>
        <w:t>&lt;b&gt;Brier score&lt;/b&gt; — the mean squared error between the predicted PD and the binary outcome.  Brier is sensitive to absolute PD quality and is the natural loss for calibrated probability estimates.</w:t>
      </w:r>
    </w:p>
    <w:p>
      <w:pPr>
        <w:spacing w:before="0" w:after="120" w:line="336" w:lineRule="auto"/>
        <w:ind w:firstLine="283"/>
      </w:pPr>
      <w:r>
        <w:rPr>
          <w:rFonts w:ascii="Times New Roman" w:hAnsi="Times New Roman" w:cs="Times New Roman" w:eastAsia="Times New Roman"/>
          <w:b w:val="0"/>
          <w:i w:val="0"/>
          <w:sz w:val="24"/>
        </w:rPr>
        <w:t>The threshold τ is selected on the validation fold to maximise the F1 score subject to recall ≥ 0.80 — a business-driven constraint that reflects the asymmetric cost of missing a defaulter versus rejecting a good payer.  Equation (3) summarises the rule:</w:t>
      </w:r>
    </w:p>
    <w:p>
      <w:pPr>
        <w:spacing w:before="80" w:after="80"/>
        <w:jc w:val="center"/>
      </w:pPr>
      <w:r>
        <w:rPr>
          <w:rFonts w:ascii="JetBrains Mono" w:hAnsi="JetBrains Mono" w:cs="JetBrains Mono" w:eastAsia="JetBrains Mono"/>
          <w:b w:val="0"/>
          <w:i w:val="0"/>
          <w:sz w:val="22"/>
        </w:rPr>
        <w:t>τ*  =  argmax F1(τ)    subject to    Recall(τ) ≥ 0.80</w:t>
      </w:r>
      <w:r>
        <w:rPr>
          <w:rFonts w:ascii="Times New Roman" w:hAnsi="Times New Roman" w:cs="Times New Roman" w:eastAsia="Times New Roman"/>
          <w:b w:val="0"/>
          <w:i/>
          <w:sz w:val="22"/>
        </w:rPr>
        <w:t xml:space="preserve">          (3)</w:t>
      </w:r>
    </w:p>
    <w:p>
      <w:r>
        <w:br w:type="page"/>
      </w:r>
    </w:p>
    <w:p>
      <w:pPr>
        <w:pageBreakBefore w:val="0"/>
        <w:spacing w:before="240" w:after="360"/>
        <w:jc w:val="center"/>
      </w:pPr>
      <w:r>
        <w:rPr>
          <w:rFonts w:ascii="JetBrains Mono" w:hAnsi="JetBrains Mono" w:cs="JetBrains Mono" w:eastAsia="JetBrains Mono"/>
          <w:b/>
          <w:i w:val="0"/>
          <w:color w:val="ED1C24"/>
          <w:sz w:val="40"/>
        </w:rPr>
        <w:t>CHAPTER 3:  METHODOLOGY</w:t>
      </w:r>
    </w:p>
    <w:p>
      <w:pPr>
        <w:spacing w:before="280" w:after="120"/>
      </w:pPr>
      <w:r>
        <w:rPr>
          <w:rFonts w:ascii="JetBrains Mono" w:hAnsi="JetBrains Mono" w:cs="JetBrains Mono" w:eastAsia="JetBrains Mono"/>
          <w:b/>
          <w:i w:val="0"/>
          <w:color w:val="0F0F0F"/>
          <w:sz w:val="28"/>
        </w:rPr>
        <w:t>3.1.  Train / Valid / Test Split</w:t>
      </w:r>
    </w:p>
    <w:p>
      <w:pPr>
        <w:spacing w:before="0" w:after="120" w:line="336" w:lineRule="auto"/>
        <w:ind w:firstLine="283"/>
      </w:pPr>
      <w:r>
        <w:rPr>
          <w:rFonts w:ascii="Times New Roman" w:hAnsi="Times New Roman" w:cs="Times New Roman" w:eastAsia="Times New Roman"/>
          <w:b w:val="0"/>
          <w:i w:val="0"/>
          <w:sz w:val="24"/>
        </w:rPr>
        <w:t>We use a stratified 70 / 15 / 15 split (random_state = 42) on the 12 750-row subsample.  The validation fold is reserved for calibration and threshold selection; the test fold is touched only at the very end of the pipeline, so that the reported metrics reflect honest out-of-sample performance.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701"/>
            <w:shd w:val="clear" w:color="auto" w:fill="ED1C24"/>
          </w:tcPr>
          <w:p>
            <w:pPr>
              <w:spacing w:before="40" w:after="40"/>
              <w:jc w:val="left"/>
            </w:pPr>
            <w:r/>
            <w:r>
              <w:rPr>
                <w:rFonts w:ascii="JetBrains Mono" w:hAnsi="JetBrains Mono" w:cs="JetBrains Mono" w:eastAsia="JetBrains Mono"/>
                <w:b/>
                <w:i w:val="0"/>
                <w:color w:val="FFFFFF"/>
                <w:sz w:val="20"/>
              </w:rPr>
              <w:t>Fold</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Rows</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Default rate</w:t>
            </w:r>
          </w:p>
        </w:tc>
        <w:tc>
          <w:tcPr>
            <w:tcW w:type="dxa" w:w="3402"/>
            <w:shd w:val="clear" w:color="auto" w:fill="ED1C24"/>
          </w:tcPr>
          <w:p>
            <w:pPr>
              <w:spacing w:before="40" w:after="40"/>
              <w:jc w:val="center"/>
            </w:pPr>
            <w:r/>
            <w:r>
              <w:rPr>
                <w:rFonts w:ascii="JetBrains Mono" w:hAnsi="JetBrains Mono" w:cs="JetBrains Mono" w:eastAsia="JetBrains Mono"/>
                <w:b/>
                <w:i w:val="0"/>
                <w:color w:val="FFFFFF"/>
                <w:sz w:val="20"/>
              </w:rPr>
              <w:t>Stratified on TARGET?</w:t>
            </w:r>
          </w:p>
        </w:tc>
      </w:tr>
      <w:tr>
        <w:tc>
          <w:tcPr>
            <w:tcW w:type="dxa" w:w="1701"/>
          </w:tcPr>
          <w:p>
            <w:pPr>
              <w:spacing w:before="40" w:after="40"/>
              <w:jc w:val="left"/>
            </w:pPr>
            <w:r/>
            <w:r>
              <w:rPr>
                <w:rFonts w:ascii="JetBrains Mono" w:hAnsi="JetBrains Mono" w:cs="JetBrains Mono" w:eastAsia="JetBrains Mono"/>
                <w:b w:val="0"/>
                <w:i w:val="0"/>
                <w:sz w:val="18"/>
              </w:rPr>
              <w:t>Train</w:t>
            </w:r>
          </w:p>
        </w:tc>
        <w:tc>
          <w:tcPr>
            <w:tcW w:type="dxa" w:w="1701"/>
          </w:tcPr>
          <w:p>
            <w:pPr>
              <w:spacing w:before="40" w:after="40"/>
              <w:jc w:val="center"/>
            </w:pPr>
            <w:r/>
            <w:r>
              <w:rPr>
                <w:rFonts w:ascii="JetBrains Mono" w:hAnsi="JetBrains Mono" w:cs="JetBrains Mono" w:eastAsia="JetBrains Mono"/>
                <w:b w:val="0"/>
                <w:i w:val="0"/>
                <w:sz w:val="18"/>
              </w:rPr>
              <w:t>5,250</w:t>
            </w:r>
          </w:p>
        </w:tc>
        <w:tc>
          <w:tcPr>
            <w:tcW w:type="dxa" w:w="1701"/>
          </w:tcPr>
          <w:p>
            <w:pPr>
              <w:spacing w:before="40" w:after="40"/>
              <w:jc w:val="center"/>
            </w:pPr>
            <w:r/>
            <w:r>
              <w:rPr>
                <w:rFonts w:ascii="JetBrains Mono" w:hAnsi="JetBrains Mono" w:cs="JetBrains Mono" w:eastAsia="JetBrains Mono"/>
                <w:b w:val="0"/>
                <w:i w:val="0"/>
                <w:sz w:val="18"/>
              </w:rPr>
              <w:t>8.0%</w:t>
            </w:r>
          </w:p>
        </w:tc>
        <w:tc>
          <w:tcPr>
            <w:tcW w:type="dxa" w:w="3402"/>
          </w:tcPr>
          <w:p>
            <w:pPr>
              <w:spacing w:before="40" w:after="40"/>
              <w:jc w:val="center"/>
            </w:pPr>
            <w:r/>
            <w:r>
              <w:rPr>
                <w:rFonts w:ascii="JetBrains Mono" w:hAnsi="JetBrains Mono" w:cs="JetBrains Mono" w:eastAsia="JetBrains Mono"/>
                <w:b w:val="0"/>
                <w:i w:val="0"/>
                <w:sz w:val="18"/>
              </w:rPr>
              <w:t>✓</w:t>
            </w:r>
          </w:p>
        </w:tc>
      </w:tr>
      <w:tr>
        <w:tc>
          <w:tcPr>
            <w:tcW w:type="dxa" w:w="1701"/>
          </w:tcPr>
          <w:p>
            <w:pPr>
              <w:spacing w:before="40" w:after="40"/>
              <w:jc w:val="left"/>
            </w:pPr>
            <w:r/>
            <w:r>
              <w:rPr>
                <w:rFonts w:ascii="JetBrains Mono" w:hAnsi="JetBrains Mono" w:cs="JetBrains Mono" w:eastAsia="JetBrains Mono"/>
                <w:b w:val="0"/>
                <w:i w:val="0"/>
                <w:sz w:val="18"/>
              </w:rPr>
              <w:t>Validation</w:t>
            </w:r>
          </w:p>
        </w:tc>
        <w:tc>
          <w:tcPr>
            <w:tcW w:type="dxa" w:w="1701"/>
          </w:tcPr>
          <w:p>
            <w:pPr>
              <w:spacing w:before="40" w:after="40"/>
              <w:jc w:val="center"/>
            </w:pPr>
            <w:r/>
            <w:r>
              <w:rPr>
                <w:rFonts w:ascii="JetBrains Mono" w:hAnsi="JetBrains Mono" w:cs="JetBrains Mono" w:eastAsia="JetBrains Mono"/>
                <w:b w:val="0"/>
                <w:i w:val="0"/>
                <w:sz w:val="18"/>
              </w:rPr>
              <w:t>1,125</w:t>
            </w:r>
          </w:p>
        </w:tc>
        <w:tc>
          <w:tcPr>
            <w:tcW w:type="dxa" w:w="1701"/>
          </w:tcPr>
          <w:p>
            <w:pPr>
              <w:spacing w:before="40" w:after="40"/>
              <w:jc w:val="center"/>
            </w:pPr>
            <w:r/>
            <w:r>
              <w:rPr>
                <w:rFonts w:ascii="JetBrains Mono" w:hAnsi="JetBrains Mono" w:cs="JetBrains Mono" w:eastAsia="JetBrains Mono"/>
                <w:b w:val="0"/>
                <w:i w:val="0"/>
                <w:sz w:val="18"/>
              </w:rPr>
              <w:t>8.0%</w:t>
            </w:r>
          </w:p>
        </w:tc>
        <w:tc>
          <w:tcPr>
            <w:tcW w:type="dxa" w:w="3402"/>
          </w:tcPr>
          <w:p>
            <w:pPr>
              <w:spacing w:before="40" w:after="40"/>
              <w:jc w:val="center"/>
            </w:pPr>
            <w:r/>
            <w:r>
              <w:rPr>
                <w:rFonts w:ascii="JetBrains Mono" w:hAnsi="JetBrains Mono" w:cs="JetBrains Mono" w:eastAsia="JetBrains Mono"/>
                <w:b w:val="0"/>
                <w:i w:val="0"/>
                <w:sz w:val="18"/>
              </w:rPr>
              <w:t>✓</w:t>
            </w:r>
          </w:p>
        </w:tc>
      </w:tr>
      <w:tr>
        <w:tc>
          <w:tcPr>
            <w:tcW w:type="dxa" w:w="1701"/>
          </w:tcPr>
          <w:p>
            <w:pPr>
              <w:spacing w:before="40" w:after="40"/>
              <w:jc w:val="left"/>
            </w:pPr>
            <w:r/>
            <w:r>
              <w:rPr>
                <w:rFonts w:ascii="JetBrains Mono" w:hAnsi="JetBrains Mono" w:cs="JetBrains Mono" w:eastAsia="JetBrains Mono"/>
                <w:b w:val="0"/>
                <w:i w:val="0"/>
                <w:sz w:val="18"/>
              </w:rPr>
              <w:t>Test</w:t>
            </w:r>
          </w:p>
        </w:tc>
        <w:tc>
          <w:tcPr>
            <w:tcW w:type="dxa" w:w="1701"/>
          </w:tcPr>
          <w:p>
            <w:pPr>
              <w:spacing w:before="40" w:after="40"/>
              <w:jc w:val="center"/>
            </w:pPr>
            <w:r/>
            <w:r>
              <w:rPr>
                <w:rFonts w:ascii="JetBrains Mono" w:hAnsi="JetBrains Mono" w:cs="JetBrains Mono" w:eastAsia="JetBrains Mono"/>
                <w:b w:val="0"/>
                <w:i w:val="0"/>
                <w:sz w:val="18"/>
              </w:rPr>
              <w:t>7,500</w:t>
            </w:r>
          </w:p>
        </w:tc>
        <w:tc>
          <w:tcPr>
            <w:tcW w:type="dxa" w:w="1701"/>
          </w:tcPr>
          <w:p>
            <w:pPr>
              <w:spacing w:before="40" w:after="40"/>
              <w:jc w:val="center"/>
            </w:pPr>
            <w:r/>
            <w:r>
              <w:rPr>
                <w:rFonts w:ascii="JetBrains Mono" w:hAnsi="JetBrains Mono" w:cs="JetBrains Mono" w:eastAsia="JetBrains Mono"/>
                <w:b w:val="0"/>
                <w:i w:val="0"/>
                <w:sz w:val="18"/>
              </w:rPr>
              <w:t>8.0%</w:t>
            </w:r>
          </w:p>
        </w:tc>
        <w:tc>
          <w:tcPr>
            <w:tcW w:type="dxa" w:w="3402"/>
          </w:tcPr>
          <w:p>
            <w:pPr>
              <w:spacing w:before="40" w:after="40"/>
              <w:jc w:val="center"/>
            </w:pPr>
            <w:r/>
            <w:r>
              <w:rPr>
                <w:rFonts w:ascii="JetBrains Mono" w:hAnsi="JetBrains Mono" w:cs="JetBrains Mono" w:eastAsia="JetBrains Mono"/>
                <w:b w:val="0"/>
                <w:i w:val="0"/>
                <w:sz w:val="18"/>
              </w:rPr>
              <w:t>✓</w:t>
            </w:r>
          </w:p>
        </w:tc>
      </w:tr>
    </w:tbl>
    <w:p>
      <w:pPr>
        <w:spacing w:before="0" w:after="200"/>
        <w:jc w:val="center"/>
      </w:pPr>
      <w:r>
        <w:rPr>
          <w:rFonts w:ascii="Times New Roman" w:hAnsi="Times New Roman" w:cs="Times New Roman" w:eastAsia="Times New Roman"/>
          <w:b w:val="0"/>
          <w:i/>
          <w:color w:val="666666"/>
          <w:sz w:val="18"/>
        </w:rPr>
        <w:t>Table 1.  Stratified split used throughout the pipeline.</w:t>
      </w:r>
    </w:p>
    <w:p>
      <w:pPr>
        <w:spacing w:before="280" w:after="120"/>
      </w:pPr>
      <w:r>
        <w:rPr>
          <w:rFonts w:ascii="JetBrains Mono" w:hAnsi="JetBrains Mono" w:cs="JetBrains Mono" w:eastAsia="JetBrains Mono"/>
          <w:b/>
          <w:i w:val="0"/>
          <w:color w:val="0F0F0F"/>
          <w:sz w:val="28"/>
        </w:rPr>
        <w:t>3.2.  Preprocessing</w:t>
      </w:r>
    </w:p>
    <w:p>
      <w:pPr>
        <w:spacing w:before="0" w:after="120" w:line="336" w:lineRule="auto"/>
        <w:ind w:firstLine="283"/>
      </w:pPr>
      <w:r>
        <w:rPr>
          <w:rFonts w:ascii="Times New Roman" w:hAnsi="Times New Roman" w:cs="Times New Roman" w:eastAsia="Times New Roman"/>
          <w:b w:val="0"/>
          <w:i w:val="0"/>
          <w:sz w:val="24"/>
        </w:rPr>
        <w:t>A ColumnTransformer applies (i) median imputation to numeric features, (ii) most-frequent imputation followed by one-hot encoding (drop-first) to categorical features, and (iii) standard scaling to the numeric block.  All transformers are fit on the training fold only.  Figure 6 sketches the pipeline.</w:t>
      </w:r>
    </w:p>
    <w:p>
      <w:pPr>
        <w:spacing w:before="280" w:after="120"/>
      </w:pPr>
      <w:r>
        <w:rPr>
          <w:rFonts w:ascii="JetBrains Mono" w:hAnsi="JetBrains Mono" w:cs="JetBrains Mono" w:eastAsia="JetBrains Mono"/>
          <w:b/>
          <w:i w:val="0"/>
          <w:color w:val="0F0F0F"/>
          <w:sz w:val="28"/>
        </w:rPr>
        <w:t>3.3.  Feature Engineering</w:t>
      </w:r>
    </w:p>
    <w:p>
      <w:pPr>
        <w:spacing w:before="0" w:after="120" w:line="336" w:lineRule="auto"/>
      </w:pPr>
      <w:r>
        <w:rPr>
          <w:rFonts w:ascii="Times New Roman" w:hAnsi="Times New Roman" w:cs="Times New Roman" w:eastAsia="Times New Roman"/>
          <w:b w:val="0"/>
          <w:i w:val="0"/>
          <w:sz w:val="24"/>
        </w:rPr>
        <w:t>We engineer 301 features organised into four blocks:</w:t>
      </w:r>
    </w:p>
    <w:p>
      <w:pPr>
        <w:pStyle w:val="ListBullet"/>
        <w:spacing w:after="60" w:line="312" w:lineRule="auto"/>
        <w:ind w:left="567" w:hanging="283"/>
      </w:pPr>
      <w:r>
        <w:rPr>
          <w:rFonts w:ascii="Times New Roman" w:hAnsi="Times New Roman" w:cs="Times New Roman" w:eastAsia="Times New Roman"/>
          <w:b w:val="0"/>
          <w:i w:val="0"/>
          <w:sz w:val="24"/>
        </w:rPr>
        <w:t>&lt;b&gt;Application cleaning&lt;/b&gt; — replace the DAYS_EMPLOYED sentinel (365 243) with NaN plus a binary flag; convert CODE_GENDER = XNA to NaN; set OWN_CAR_AGE to NaN when FLAG_OWN_CAR = N; add time features (AGE_YEARS, EMPLOYED_YEARS, REGISTERED_YEARS, ID_PUBLISH_YEARS); add ratio features (CREDIT_INCOME_RATIO, ANNUITY_INCOME_RATIO, CREDIT_TERM, CREDIT_GOODS_RATIO, INCOME_PER_FAM, INCOME_PER_CHILD); add EXT_SOURCE aggregates (MEAN, MIN, MAX, STD, PROD, COUNT); and a NUM_DOCS_SUBMITTED feature aggregating the FLAG_DOCUMENT_* indicators.</w:t>
      </w:r>
    </w:p>
    <w:p>
      <w:pPr>
        <w:pStyle w:val="ListBullet"/>
        <w:spacing w:after="60" w:line="312" w:lineRule="auto"/>
        <w:ind w:left="567" w:hanging="283"/>
      </w:pPr>
      <w:r>
        <w:rPr>
          <w:rFonts w:ascii="Times New Roman" w:hAnsi="Times New Roman" w:cs="Times New Roman" w:eastAsia="Times New Roman"/>
          <w:b w:val="0"/>
          <w:i w:val="0"/>
          <w:sz w:val="24"/>
        </w:rPr>
        <w:t>&lt;b&gt;Bureau aggregation&lt;/b&gt; — group bureau records by SK_ID_CURR and compute BUR_ACTIVE_CNT, BUR_OVERDUE_CNT, BUR_CREDIT_SUM, BUR_DEBT_SUM, BUR_OVERDUE_AMT, BUR_MAX_OVERDUE_DAYS, BUR_PROLONG_CNT, BUR_LOAN_CNT, BUR_DAYS_CREDIT_MIN and BUR_DEBT_RATIO; one-hot encode the CREDIT_TYPE column into BUR_TYPE_*; and add a HAS_BUREAU flag.</w:t>
      </w:r>
    </w:p>
    <w:p>
      <w:pPr>
        <w:pStyle w:val="ListBullet"/>
        <w:spacing w:after="60" w:line="312" w:lineRule="auto"/>
        <w:ind w:left="567" w:hanging="283"/>
      </w:pPr>
      <w:r>
        <w:rPr>
          <w:rFonts w:ascii="Times New Roman" w:hAnsi="Times New Roman" w:cs="Times New Roman" w:eastAsia="Times New Roman"/>
          <w:b w:val="0"/>
          <w:i w:val="0"/>
          <w:sz w:val="24"/>
        </w:rPr>
        <w:t>&lt;b&gt;Previous applications + installments&lt;/b&gt; — summary statistics on prior applications (PREV_AMT_SUM, PREV_AMT_MEAN, PREV_CREDIT_MAX, PREV_DAYS_DEC_MIN, PREV_CNT_PAYMENT_MEAN, PREV_APPROVE_RATE) and on installment behaviour (INST_PAY_RATIO, INST_LATE_MEAN, INST_LATE_7D_SUM).</w:t>
      </w:r>
    </w:p>
    <w:p>
      <w:pPr>
        <w:pStyle w:val="ListBullet"/>
        <w:spacing w:after="60" w:line="312" w:lineRule="auto"/>
        <w:ind w:left="567" w:hanging="283"/>
      </w:pPr>
      <w:r>
        <w:rPr>
          <w:rFonts w:ascii="Times New Roman" w:hAnsi="Times New Roman" w:cs="Times New Roman" w:eastAsia="Times New Roman"/>
          <w:b w:val="0"/>
          <w:i w:val="0"/>
          <w:sz w:val="24"/>
        </w:rPr>
        <w:t>&lt;b&gt;POS / credit-card&lt;/b&gt; — utilisation and count features (POS_UTIL_MEAN, POS_CNT, CC_UTIL_MEAN).</w:t>
      </w:r>
    </w:p>
    <w:p>
      <w:pPr>
        <w:spacing w:before="280" w:after="120"/>
      </w:pPr>
      <w:r>
        <w:rPr>
          <w:rFonts w:ascii="JetBrains Mono" w:hAnsi="JetBrains Mono" w:cs="JetBrains Mono" w:eastAsia="JetBrains Mono"/>
          <w:b/>
          <w:i w:val="0"/>
          <w:color w:val="0F0F0F"/>
          <w:sz w:val="28"/>
        </w:rPr>
        <w:t>3.4.  Models</w:t>
      </w:r>
    </w:p>
    <w:p>
      <w:pPr>
        <w:spacing w:before="0" w:after="120" w:line="336" w:lineRule="auto"/>
        <w:ind w:firstLine="283"/>
      </w:pPr>
      <w:r>
        <w:rPr>
          <w:rFonts w:ascii="Times New Roman" w:hAnsi="Times New Roman" w:cs="Times New Roman" w:eastAsia="Times New Roman"/>
          <w:b w:val="0"/>
          <w:i w:val="0"/>
          <w:sz w:val="24"/>
        </w:rPr>
        <w:t>We compare four classifiers (Table 2).  Logistic regression serves as an interpretable baseline; the class-balanced variant up-weights the minority class.  LightGBM is tuned with Optuna for 15 trials; the best trial's hyperparameters are shown in Table 3.</w:t>
      </w:r>
    </w:p>
    <w:tbl>
      <w:tblPr>
        <w:tblStyle w:val="LightGrid-Accent1"/>
        <w:tblW w:type="auto" w:w="0"/>
        <w:jc w:val="center"/>
        <w:tblLook w:firstColumn="1" w:firstRow="1" w:lastColumn="0" w:lastRow="0" w:noHBand="0" w:noVBand="1" w:val="04A0"/>
      </w:tblPr>
      <w:tblGrid>
        <w:gridCol w:w="3024"/>
        <w:gridCol w:w="3024"/>
        <w:gridCol w:w="3024"/>
      </w:tblGrid>
      <w:tr>
        <w:tc>
          <w:tcPr>
            <w:tcW w:type="dxa" w:w="2268"/>
            <w:shd w:val="clear" w:color="auto" w:fill="ED1C24"/>
          </w:tcPr>
          <w:p>
            <w:pPr>
              <w:spacing w:before="40" w:after="40"/>
              <w:jc w:val="left"/>
            </w:pPr>
            <w:r/>
            <w:r>
              <w:rPr>
                <w:rFonts w:ascii="JetBrains Mono" w:hAnsi="JetBrains Mono" w:cs="JetBrains Mono" w:eastAsia="JetBrains Mono"/>
                <w:b/>
                <w:i w:val="0"/>
                <w:color w:val="FFFFFF"/>
                <w:sz w:val="20"/>
              </w:rPr>
              <w:t>Model</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Type</w:t>
            </w:r>
          </w:p>
        </w:tc>
        <w:tc>
          <w:tcPr>
            <w:tcW w:type="dxa" w:w="4535"/>
            <w:shd w:val="clear" w:color="auto" w:fill="ED1C24"/>
          </w:tcPr>
          <w:p>
            <w:pPr>
              <w:spacing w:before="40" w:after="40"/>
              <w:jc w:val="center"/>
            </w:pPr>
            <w:r/>
            <w:r>
              <w:rPr>
                <w:rFonts w:ascii="JetBrains Mono" w:hAnsi="JetBrains Mono" w:cs="JetBrains Mono" w:eastAsia="JetBrains Mono"/>
                <w:b/>
                <w:i w:val="0"/>
                <w:color w:val="FFFFFF"/>
                <w:sz w:val="20"/>
              </w:rPr>
              <w:t>Notes</w:t>
            </w:r>
          </w:p>
        </w:tc>
      </w:tr>
      <w:tr>
        <w:tc>
          <w:tcPr>
            <w:tcW w:type="dxa" w:w="2268"/>
          </w:tcPr>
          <w:p>
            <w:pPr>
              <w:spacing w:before="40" w:after="40"/>
              <w:jc w:val="left"/>
            </w:pPr>
            <w:r/>
            <w:r>
              <w:rPr>
                <w:rFonts w:ascii="JetBrains Mono" w:hAnsi="JetBrains Mono" w:cs="JetBrains Mono" w:eastAsia="JetBrains Mono"/>
                <w:b w:val="0"/>
                <w:i w:val="0"/>
                <w:sz w:val="18"/>
              </w:rPr>
              <w:t>Logistic</w:t>
            </w:r>
          </w:p>
        </w:tc>
        <w:tc>
          <w:tcPr>
            <w:tcW w:type="dxa" w:w="1701"/>
          </w:tcPr>
          <w:p>
            <w:pPr>
              <w:spacing w:before="40" w:after="40"/>
              <w:jc w:val="center"/>
            </w:pPr>
            <w:r/>
            <w:r>
              <w:rPr>
                <w:rFonts w:ascii="JetBrains Mono" w:hAnsi="JetBrains Mono" w:cs="JetBrains Mono" w:eastAsia="JetBrains Mono"/>
                <w:b w:val="0"/>
                <w:i w:val="0"/>
                <w:sz w:val="18"/>
              </w:rPr>
              <w:t>Baseline</w:t>
            </w:r>
          </w:p>
        </w:tc>
        <w:tc>
          <w:tcPr>
            <w:tcW w:type="dxa" w:w="4535"/>
          </w:tcPr>
          <w:p>
            <w:pPr>
              <w:spacing w:before="40" w:after="40"/>
              <w:jc w:val="center"/>
            </w:pPr>
            <w:r/>
            <w:r>
              <w:rPr>
                <w:rFonts w:ascii="JetBrains Mono" w:hAnsi="JetBrains Mono" w:cs="JetBrains Mono" w:eastAsia="JetBrains Mono"/>
                <w:b w:val="0"/>
                <w:i w:val="0"/>
                <w:sz w:val="18"/>
              </w:rPr>
              <w:t>Unweighted, default C=1</w:t>
            </w:r>
          </w:p>
        </w:tc>
      </w:tr>
      <w:tr>
        <w:tc>
          <w:tcPr>
            <w:tcW w:type="dxa" w:w="2268"/>
          </w:tcPr>
          <w:p>
            <w:pPr>
              <w:spacing w:before="40" w:after="40"/>
              <w:jc w:val="left"/>
            </w:pPr>
            <w:r/>
            <w:r>
              <w:rPr>
                <w:rFonts w:ascii="JetBrains Mono" w:hAnsi="JetBrains Mono" w:cs="JetBrains Mono" w:eastAsia="JetBrains Mono"/>
                <w:b w:val="0"/>
                <w:i w:val="0"/>
                <w:sz w:val="18"/>
              </w:rPr>
              <w:t>Logistic_balanced</w:t>
            </w:r>
          </w:p>
        </w:tc>
        <w:tc>
          <w:tcPr>
            <w:tcW w:type="dxa" w:w="1701"/>
          </w:tcPr>
          <w:p>
            <w:pPr>
              <w:spacing w:before="40" w:after="40"/>
              <w:jc w:val="center"/>
            </w:pPr>
            <w:r/>
            <w:r>
              <w:rPr>
                <w:rFonts w:ascii="JetBrains Mono" w:hAnsi="JetBrains Mono" w:cs="JetBrains Mono" w:eastAsia="JetBrains Mono"/>
                <w:b w:val="0"/>
                <w:i w:val="0"/>
                <w:sz w:val="18"/>
              </w:rPr>
              <w:t>Baseline</w:t>
            </w:r>
          </w:p>
        </w:tc>
        <w:tc>
          <w:tcPr>
            <w:tcW w:type="dxa" w:w="4535"/>
          </w:tcPr>
          <w:p>
            <w:pPr>
              <w:spacing w:before="40" w:after="40"/>
              <w:jc w:val="center"/>
            </w:pPr>
            <w:r/>
            <w:r>
              <w:rPr>
                <w:rFonts w:ascii="JetBrains Mono" w:hAnsi="JetBrains Mono" w:cs="JetBrains Mono" w:eastAsia="JetBrains Mono"/>
                <w:b w:val="0"/>
                <w:i w:val="0"/>
                <w:sz w:val="18"/>
              </w:rPr>
              <w:t>class_weight='balanced'</w:t>
            </w:r>
          </w:p>
        </w:tc>
      </w:tr>
      <w:tr>
        <w:tc>
          <w:tcPr>
            <w:tcW w:type="dxa" w:w="2268"/>
          </w:tcPr>
          <w:p>
            <w:pPr>
              <w:spacing w:before="40" w:after="40"/>
              <w:jc w:val="left"/>
            </w:pPr>
            <w:r/>
            <w:r>
              <w:rPr>
                <w:rFonts w:ascii="JetBrains Mono" w:hAnsi="JetBrains Mono" w:cs="JetBrains Mono" w:eastAsia="JetBrains Mono"/>
                <w:b w:val="0"/>
                <w:i w:val="0"/>
                <w:sz w:val="18"/>
              </w:rPr>
              <w:t>LightGBM</w:t>
            </w:r>
          </w:p>
        </w:tc>
        <w:tc>
          <w:tcPr>
            <w:tcW w:type="dxa" w:w="1701"/>
          </w:tcPr>
          <w:p>
            <w:pPr>
              <w:spacing w:before="40" w:after="40"/>
              <w:jc w:val="center"/>
            </w:pPr>
            <w:r/>
            <w:r>
              <w:rPr>
                <w:rFonts w:ascii="JetBrains Mono" w:hAnsi="JetBrains Mono" w:cs="JetBrains Mono" w:eastAsia="JetBrains Mono"/>
                <w:b w:val="0"/>
                <w:i w:val="0"/>
                <w:sz w:val="18"/>
              </w:rPr>
              <w:t>GBM</w:t>
            </w:r>
          </w:p>
        </w:tc>
        <w:tc>
          <w:tcPr>
            <w:tcW w:type="dxa" w:w="4535"/>
          </w:tcPr>
          <w:p>
            <w:pPr>
              <w:spacing w:before="40" w:after="40"/>
              <w:jc w:val="center"/>
            </w:pPr>
            <w:r/>
            <w:r>
              <w:rPr>
                <w:rFonts w:ascii="JetBrains Mono" w:hAnsi="JetBrains Mono" w:cs="JetBrains Mono" w:eastAsia="JetBrains Mono"/>
                <w:b w:val="0"/>
                <w:i w:val="0"/>
                <w:sz w:val="18"/>
              </w:rPr>
              <w:t>Optuna 15 trials; early stopping on validation</w:t>
            </w:r>
          </w:p>
        </w:tc>
      </w:tr>
      <w:tr>
        <w:tc>
          <w:tcPr>
            <w:tcW w:type="dxa" w:w="2268"/>
          </w:tcPr>
          <w:p>
            <w:pPr>
              <w:spacing w:before="40" w:after="40"/>
              <w:jc w:val="left"/>
            </w:pPr>
            <w:r/>
            <w:r>
              <w:rPr>
                <w:rFonts w:ascii="JetBrains Mono" w:hAnsi="JetBrains Mono" w:cs="JetBrains Mono" w:eastAsia="JetBrains Mono"/>
                <w:b w:val="0"/>
                <w:i w:val="0"/>
                <w:sz w:val="18"/>
              </w:rPr>
              <w:t>LightGBM_calibrated</w:t>
            </w:r>
          </w:p>
        </w:tc>
        <w:tc>
          <w:tcPr>
            <w:tcW w:type="dxa" w:w="1701"/>
          </w:tcPr>
          <w:p>
            <w:pPr>
              <w:spacing w:before="40" w:after="40"/>
              <w:jc w:val="center"/>
            </w:pPr>
            <w:r/>
            <w:r>
              <w:rPr>
                <w:rFonts w:ascii="JetBrains Mono" w:hAnsi="JetBrains Mono" w:cs="JetBrains Mono" w:eastAsia="JetBrains Mono"/>
                <w:b w:val="0"/>
                <w:i w:val="0"/>
                <w:sz w:val="18"/>
              </w:rPr>
              <w:t>GBM + cal.</w:t>
            </w:r>
          </w:p>
        </w:tc>
        <w:tc>
          <w:tcPr>
            <w:tcW w:type="dxa" w:w="4535"/>
          </w:tcPr>
          <w:p>
            <w:pPr>
              <w:spacing w:before="40" w:after="40"/>
              <w:jc w:val="center"/>
            </w:pPr>
            <w:r/>
            <w:r>
              <w:rPr>
                <w:rFonts w:ascii="JetBrains Mono" w:hAnsi="JetBrains Mono" w:cs="JetBrains Mono" w:eastAsia="JetBrains Mono"/>
                <w:b w:val="0"/>
                <w:i w:val="0"/>
                <w:sz w:val="18"/>
              </w:rPr>
              <w:t>Isotonic regression on validation</w:t>
            </w:r>
          </w:p>
        </w:tc>
      </w:tr>
    </w:tbl>
    <w:p>
      <w:pPr>
        <w:spacing w:before="0" w:after="200"/>
        <w:jc w:val="center"/>
      </w:pPr>
      <w:r>
        <w:rPr>
          <w:rFonts w:ascii="Times New Roman" w:hAnsi="Times New Roman" w:cs="Times New Roman" w:eastAsia="Times New Roman"/>
          <w:b w:val="0"/>
          <w:i/>
          <w:color w:val="666666"/>
          <w:sz w:val="18"/>
        </w:rPr>
        <w:t>Table 2.  Models compared in this study.</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ED1C24"/>
          </w:tcPr>
          <w:p>
            <w:pPr>
              <w:spacing w:before="40" w:after="40"/>
              <w:jc w:val="left"/>
            </w:pPr>
            <w:r/>
            <w:r>
              <w:rPr>
                <w:rFonts w:ascii="JetBrains Mono" w:hAnsi="JetBrains Mono" w:cs="JetBrains Mono" w:eastAsia="JetBrains Mono"/>
                <w:b/>
                <w:i w:val="0"/>
                <w:color w:val="FFFFFF"/>
                <w:sz w:val="20"/>
              </w:rPr>
              <w:t>n_estimators</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num_leaves</w:t>
            </w:r>
          </w:p>
        </w:tc>
        <w:tc>
          <w:tcPr>
            <w:tcW w:type="dxa" w:w="1984"/>
            <w:shd w:val="clear" w:color="auto" w:fill="ED1C24"/>
          </w:tcPr>
          <w:p>
            <w:pPr>
              <w:spacing w:before="40" w:after="40"/>
              <w:jc w:val="center"/>
            </w:pPr>
            <w:r/>
            <w:r>
              <w:rPr>
                <w:rFonts w:ascii="JetBrains Mono" w:hAnsi="JetBrains Mono" w:cs="JetBrains Mono" w:eastAsia="JetBrains Mono"/>
                <w:b/>
                <w:i w:val="0"/>
                <w:color w:val="FFFFFF"/>
                <w:sz w:val="20"/>
              </w:rPr>
              <w:t>learning_rate</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objective</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random_state</w:t>
            </w:r>
          </w:p>
        </w:tc>
      </w:tr>
      <w:tr>
        <w:tc>
          <w:tcPr>
            <w:tcW w:type="dxa" w:w="1701"/>
          </w:tcPr>
          <w:p>
            <w:pPr>
              <w:spacing w:before="40" w:after="40"/>
              <w:jc w:val="left"/>
            </w:pPr>
            <w:r/>
            <w:r>
              <w:rPr>
                <w:rFonts w:ascii="JetBrains Mono" w:hAnsi="JetBrains Mono" w:cs="JetBrains Mono" w:eastAsia="JetBrains Mono"/>
                <w:b w:val="0"/>
                <w:i w:val="0"/>
                <w:sz w:val="18"/>
              </w:rPr>
              <w:t>205</w:t>
            </w:r>
          </w:p>
        </w:tc>
        <w:tc>
          <w:tcPr>
            <w:tcW w:type="dxa" w:w="1701"/>
          </w:tcPr>
          <w:p>
            <w:pPr>
              <w:spacing w:before="40" w:after="40"/>
              <w:jc w:val="center"/>
            </w:pPr>
            <w:r/>
            <w:r>
              <w:rPr>
                <w:rFonts w:ascii="JetBrains Mono" w:hAnsi="JetBrains Mono" w:cs="JetBrains Mono" w:eastAsia="JetBrains Mono"/>
                <w:b w:val="0"/>
                <w:i w:val="0"/>
                <w:sz w:val="18"/>
              </w:rPr>
              <w:t>53</w:t>
            </w:r>
          </w:p>
        </w:tc>
        <w:tc>
          <w:tcPr>
            <w:tcW w:type="dxa" w:w="1984"/>
          </w:tcPr>
          <w:p>
            <w:pPr>
              <w:spacing w:before="40" w:after="40"/>
              <w:jc w:val="center"/>
            </w:pPr>
            <w:r/>
            <w:r>
              <w:rPr>
                <w:rFonts w:ascii="JetBrains Mono" w:hAnsi="JetBrains Mono" w:cs="JetBrains Mono" w:eastAsia="JetBrains Mono"/>
                <w:b w:val="0"/>
                <w:i w:val="0"/>
                <w:sz w:val="18"/>
              </w:rPr>
              <w:t>0.0469</w:t>
            </w:r>
          </w:p>
        </w:tc>
        <w:tc>
          <w:tcPr>
            <w:tcW w:type="dxa" w:w="1701"/>
          </w:tcPr>
          <w:p>
            <w:pPr>
              <w:spacing w:before="40" w:after="40"/>
              <w:jc w:val="center"/>
            </w:pPr>
            <w:r/>
            <w:r>
              <w:rPr>
                <w:rFonts w:ascii="JetBrains Mono" w:hAnsi="JetBrains Mono" w:cs="JetBrains Mono" w:eastAsia="JetBrains Mono"/>
                <w:b w:val="0"/>
                <w:i w:val="0"/>
                <w:sz w:val="18"/>
              </w:rPr>
              <w:t>binary</w:t>
            </w:r>
          </w:p>
        </w:tc>
        <w:tc>
          <w:tcPr>
            <w:tcW w:type="dxa" w:w="1701"/>
          </w:tcPr>
          <w:p>
            <w:pPr>
              <w:spacing w:before="40" w:after="40"/>
              <w:jc w:val="center"/>
            </w:pPr>
            <w:r/>
            <w:r>
              <w:rPr>
                <w:rFonts w:ascii="JetBrains Mono" w:hAnsi="JetBrains Mono" w:cs="JetBrains Mono" w:eastAsia="JetBrains Mono"/>
                <w:b w:val="0"/>
                <w:i w:val="0"/>
                <w:sz w:val="18"/>
              </w:rPr>
              <w:t>42</w:t>
            </w:r>
          </w:p>
        </w:tc>
      </w:tr>
    </w:tbl>
    <w:p>
      <w:pPr>
        <w:spacing w:before="0" w:after="200"/>
        <w:jc w:val="center"/>
      </w:pPr>
      <w:r>
        <w:rPr>
          <w:rFonts w:ascii="Times New Roman" w:hAnsi="Times New Roman" w:cs="Times New Roman" w:eastAsia="Times New Roman"/>
          <w:b w:val="0"/>
          <w:i/>
          <w:color w:val="666666"/>
          <w:sz w:val="18"/>
        </w:rPr>
        <w:t>Table 3.  Best LightGBM hyperparameters from Optuna.</w:t>
      </w:r>
    </w:p>
    <w:p>
      <w:pPr>
        <w:spacing w:before="280" w:after="120"/>
      </w:pPr>
      <w:r>
        <w:rPr>
          <w:rFonts w:ascii="JetBrains Mono" w:hAnsi="JetBrains Mono" w:cs="JetBrains Mono" w:eastAsia="JetBrains Mono"/>
          <w:b/>
          <w:i w:val="0"/>
          <w:color w:val="0F0F0F"/>
          <w:sz w:val="28"/>
        </w:rPr>
        <w:t>3.5.  Calibration and Threshold Selection</w:t>
      </w:r>
    </w:p>
    <w:p>
      <w:pPr>
        <w:spacing w:before="0" w:after="120" w:line="336" w:lineRule="auto"/>
        <w:ind w:firstLine="283"/>
      </w:pPr>
      <w:r>
        <w:rPr>
          <w:rFonts w:ascii="Times New Roman" w:hAnsi="Times New Roman" w:cs="Times New Roman" w:eastAsia="Times New Roman"/>
          <w:b w:val="0"/>
          <w:i w:val="0"/>
          <w:sz w:val="24"/>
        </w:rPr>
        <w:t>Probability calibration is essential when downstream decisions depend on absolute PD values.  We fit an isotonic regression on the validation fold to map raw LightGBM scores to calibrated probabilities.  The decision threshold τ is then selected on the validation fold to maximise the F1 score subject to recall ≥ 0.80, as in Equation (3).  At the chosen τ = 0.05, the model recovers 86.2% of defaulters on the test set.</w:t>
      </w:r>
    </w:p>
    <w:p>
      <w:r>
        <w:br w:type="page"/>
      </w:r>
    </w:p>
    <w:p>
      <w:pPr>
        <w:pageBreakBefore w:val="0"/>
        <w:spacing w:before="240" w:after="360"/>
        <w:jc w:val="center"/>
      </w:pPr>
      <w:r>
        <w:rPr>
          <w:rFonts w:ascii="JetBrains Mono" w:hAnsi="JetBrains Mono" w:cs="JetBrains Mono" w:eastAsia="JetBrains Mono"/>
          <w:b/>
          <w:i w:val="0"/>
          <w:color w:val="ED1C24"/>
          <w:sz w:val="40"/>
        </w:rPr>
        <w:t>CHAPTER 4:  RESULTS AND DISCUSSION</w:t>
      </w:r>
    </w:p>
    <w:p>
      <w:pPr>
        <w:spacing w:before="280" w:after="120"/>
      </w:pPr>
      <w:r>
        <w:rPr>
          <w:rFonts w:ascii="JetBrains Mono" w:hAnsi="JetBrains Mono" w:cs="JetBrains Mono" w:eastAsia="JetBrains Mono"/>
          <w:b/>
          <w:i w:val="0"/>
          <w:color w:val="0F0F0F"/>
          <w:sz w:val="28"/>
        </w:rPr>
        <w:t>4.1.  Aggregate Metrics</w:t>
      </w:r>
    </w:p>
    <w:p>
      <w:pPr>
        <w:spacing w:before="0" w:after="120" w:line="336" w:lineRule="auto"/>
        <w:ind w:firstLine="283"/>
      </w:pPr>
      <w:r>
        <w:rPr>
          <w:rFonts w:ascii="Times New Roman" w:hAnsi="Times New Roman" w:cs="Times New Roman" w:eastAsia="Times New Roman"/>
          <w:b w:val="0"/>
          <w:i w:val="0"/>
          <w:sz w:val="24"/>
        </w:rPr>
        <w:t>Table 4 reports test-set metrics for all four models.  LightGBM (raw) achieves the highest AUC and KS; the calibrated variant slightly sacrifices ranking (AUC and KS fall by ~0.001 each) but yields probabilities that align with observed default rates, which is the property required by the scorecard downstream.  We therefore select LightGBM_calibrated as the production model.</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587"/>
            <w:shd w:val="clear" w:color="auto" w:fill="ED1C24"/>
          </w:tcPr>
          <w:p>
            <w:pPr>
              <w:spacing w:before="40" w:after="40"/>
              <w:jc w:val="left"/>
            </w:pPr>
            <w:r/>
            <w:r>
              <w:rPr>
                <w:rFonts w:ascii="JetBrains Mono" w:hAnsi="JetBrains Mono" w:cs="JetBrains Mono" w:eastAsia="JetBrains Mono"/>
                <w:b/>
                <w:i w:val="0"/>
                <w:color w:val="FFFFFF"/>
                <w:sz w:val="20"/>
              </w:rPr>
              <w:t>Model</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AUC</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Gini</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KS</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Brier</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PR-AUC</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F1</w:t>
            </w:r>
          </w:p>
        </w:tc>
        <w:tc>
          <w:tcPr>
            <w:tcW w:type="dxa" w:w="737"/>
            <w:shd w:val="clear" w:color="auto" w:fill="ED1C24"/>
          </w:tcPr>
          <w:p>
            <w:pPr>
              <w:spacing w:before="40" w:after="40"/>
              <w:jc w:val="center"/>
            </w:pPr>
            <w:r/>
            <w:r>
              <w:rPr>
                <w:rFonts w:ascii="JetBrains Mono" w:hAnsi="JetBrains Mono" w:cs="JetBrains Mono" w:eastAsia="JetBrains Mono"/>
                <w:b/>
                <w:i w:val="0"/>
                <w:color w:val="FFFFFF"/>
                <w:sz w:val="20"/>
              </w:rPr>
              <w:t>Recall</w:t>
            </w:r>
          </w:p>
        </w:tc>
        <w:tc>
          <w:tcPr>
            <w:tcW w:type="dxa" w:w="850"/>
            <w:shd w:val="clear" w:color="auto" w:fill="ED1C24"/>
          </w:tcPr>
          <w:p>
            <w:pPr>
              <w:spacing w:before="40" w:after="40"/>
              <w:jc w:val="center"/>
            </w:pPr>
            <w:r/>
            <w:r>
              <w:rPr>
                <w:rFonts w:ascii="JetBrains Mono" w:hAnsi="JetBrains Mono" w:cs="JetBrains Mono" w:eastAsia="JetBrains Mono"/>
                <w:b/>
                <w:i w:val="0"/>
                <w:color w:val="FFFFFF"/>
                <w:sz w:val="20"/>
              </w:rPr>
              <w:t>Precision</w:t>
            </w:r>
          </w:p>
        </w:tc>
      </w:tr>
      <w:tr>
        <w:tc>
          <w:tcPr>
            <w:tcW w:type="dxa" w:w="1587"/>
          </w:tcPr>
          <w:p>
            <w:pPr>
              <w:spacing w:before="40" w:after="40"/>
              <w:jc w:val="left"/>
            </w:pPr>
            <w:r/>
            <w:r>
              <w:rPr>
                <w:rFonts w:ascii="JetBrains Mono" w:hAnsi="JetBrains Mono" w:cs="JetBrains Mono" w:eastAsia="JetBrains Mono"/>
                <w:b w:val="0"/>
                <w:i w:val="0"/>
                <w:sz w:val="18"/>
              </w:rPr>
              <w:t>Logistic</w:t>
            </w:r>
          </w:p>
        </w:tc>
        <w:tc>
          <w:tcPr>
            <w:tcW w:type="dxa" w:w="737"/>
          </w:tcPr>
          <w:p>
            <w:pPr>
              <w:spacing w:before="40" w:after="40"/>
              <w:jc w:val="center"/>
            </w:pPr>
            <w:r/>
            <w:r>
              <w:rPr>
                <w:rFonts w:ascii="JetBrains Mono" w:hAnsi="JetBrains Mono" w:cs="JetBrains Mono" w:eastAsia="JetBrains Mono"/>
                <w:b w:val="0"/>
                <w:i w:val="0"/>
                <w:sz w:val="18"/>
              </w:rPr>
              <w:t>0.7452</w:t>
            </w:r>
          </w:p>
        </w:tc>
        <w:tc>
          <w:tcPr>
            <w:tcW w:type="dxa" w:w="737"/>
          </w:tcPr>
          <w:p>
            <w:pPr>
              <w:spacing w:before="40" w:after="40"/>
              <w:jc w:val="center"/>
            </w:pPr>
            <w:r/>
            <w:r>
              <w:rPr>
                <w:rFonts w:ascii="JetBrains Mono" w:hAnsi="JetBrains Mono" w:cs="JetBrains Mono" w:eastAsia="JetBrains Mono"/>
                <w:b w:val="0"/>
                <w:i w:val="0"/>
                <w:sz w:val="18"/>
              </w:rPr>
              <w:t>0.4904</w:t>
            </w:r>
          </w:p>
        </w:tc>
        <w:tc>
          <w:tcPr>
            <w:tcW w:type="dxa" w:w="737"/>
          </w:tcPr>
          <w:p>
            <w:pPr>
              <w:spacing w:before="40" w:after="40"/>
              <w:jc w:val="center"/>
            </w:pPr>
            <w:r/>
            <w:r>
              <w:rPr>
                <w:rFonts w:ascii="JetBrains Mono" w:hAnsi="JetBrains Mono" w:cs="JetBrains Mono" w:eastAsia="JetBrains Mono"/>
                <w:b w:val="0"/>
                <w:i w:val="0"/>
                <w:sz w:val="18"/>
              </w:rPr>
              <w:t>0.3689</w:t>
            </w:r>
          </w:p>
        </w:tc>
        <w:tc>
          <w:tcPr>
            <w:tcW w:type="dxa" w:w="737"/>
          </w:tcPr>
          <w:p>
            <w:pPr>
              <w:spacing w:before="40" w:after="40"/>
              <w:jc w:val="center"/>
            </w:pPr>
            <w:r/>
            <w:r>
              <w:rPr>
                <w:rFonts w:ascii="JetBrains Mono" w:hAnsi="JetBrains Mono" w:cs="JetBrains Mono" w:eastAsia="JetBrains Mono"/>
                <w:b w:val="0"/>
                <w:i w:val="0"/>
                <w:sz w:val="18"/>
              </w:rPr>
              <w:t>0.0684</w:t>
            </w:r>
          </w:p>
        </w:tc>
        <w:tc>
          <w:tcPr>
            <w:tcW w:type="dxa" w:w="737"/>
          </w:tcPr>
          <w:p>
            <w:pPr>
              <w:spacing w:before="40" w:after="40"/>
              <w:jc w:val="center"/>
            </w:pPr>
            <w:r/>
            <w:r>
              <w:rPr>
                <w:rFonts w:ascii="JetBrains Mono" w:hAnsi="JetBrains Mono" w:cs="JetBrains Mono" w:eastAsia="JetBrains Mono"/>
                <w:b w:val="0"/>
                <w:i w:val="0"/>
                <w:sz w:val="18"/>
              </w:rPr>
              <w:t>0.2350</w:t>
            </w:r>
          </w:p>
        </w:tc>
        <w:tc>
          <w:tcPr>
            <w:tcW w:type="dxa" w:w="737"/>
          </w:tcPr>
          <w:p>
            <w:pPr>
              <w:spacing w:before="40" w:after="40"/>
              <w:jc w:val="center"/>
            </w:pPr>
            <w:r/>
            <w:r>
              <w:rPr>
                <w:rFonts w:ascii="JetBrains Mono" w:hAnsi="JetBrains Mono" w:cs="JetBrains Mono" w:eastAsia="JetBrains Mono"/>
                <w:b w:val="0"/>
                <w:i w:val="0"/>
                <w:sz w:val="18"/>
              </w:rPr>
              <w:t>0.2248</w:t>
            </w:r>
          </w:p>
        </w:tc>
        <w:tc>
          <w:tcPr>
            <w:tcW w:type="dxa" w:w="737"/>
          </w:tcPr>
          <w:p>
            <w:pPr>
              <w:spacing w:before="40" w:after="40"/>
              <w:jc w:val="center"/>
            </w:pPr>
            <w:r/>
            <w:r>
              <w:rPr>
                <w:rFonts w:ascii="JetBrains Mono" w:hAnsi="JetBrains Mono" w:cs="JetBrains Mono" w:eastAsia="JetBrains Mono"/>
                <w:b w:val="0"/>
                <w:i w:val="0"/>
                <w:sz w:val="18"/>
              </w:rPr>
              <w:t>0.7927</w:t>
            </w:r>
          </w:p>
        </w:tc>
        <w:tc>
          <w:tcPr>
            <w:tcW w:type="dxa" w:w="850"/>
          </w:tcPr>
          <w:p>
            <w:pPr>
              <w:spacing w:before="40" w:after="40"/>
              <w:jc w:val="center"/>
            </w:pPr>
            <w:r/>
            <w:r>
              <w:rPr>
                <w:rFonts w:ascii="JetBrains Mono" w:hAnsi="JetBrains Mono" w:cs="JetBrains Mono" w:eastAsia="JetBrains Mono"/>
                <w:b w:val="0"/>
                <w:i w:val="0"/>
                <w:sz w:val="18"/>
              </w:rPr>
              <w:t>0.1310</w:t>
            </w:r>
          </w:p>
        </w:tc>
      </w:tr>
      <w:tr>
        <w:tc>
          <w:tcPr>
            <w:tcW w:type="dxa" w:w="1587"/>
          </w:tcPr>
          <w:p>
            <w:pPr>
              <w:spacing w:before="40" w:after="40"/>
              <w:jc w:val="left"/>
            </w:pPr>
            <w:r/>
            <w:r>
              <w:rPr>
                <w:rFonts w:ascii="JetBrains Mono" w:hAnsi="JetBrains Mono" w:cs="JetBrains Mono" w:eastAsia="JetBrains Mono"/>
                <w:b w:val="0"/>
                <w:i w:val="0"/>
                <w:sz w:val="18"/>
              </w:rPr>
              <w:t>Logistic_balanced</w:t>
            </w:r>
          </w:p>
        </w:tc>
        <w:tc>
          <w:tcPr>
            <w:tcW w:type="dxa" w:w="737"/>
          </w:tcPr>
          <w:p>
            <w:pPr>
              <w:spacing w:before="40" w:after="40"/>
              <w:jc w:val="center"/>
            </w:pPr>
            <w:r/>
            <w:r>
              <w:rPr>
                <w:rFonts w:ascii="JetBrains Mono" w:hAnsi="JetBrains Mono" w:cs="JetBrains Mono" w:eastAsia="JetBrains Mono"/>
                <w:b w:val="0"/>
                <w:i w:val="0"/>
                <w:sz w:val="18"/>
              </w:rPr>
              <w:t>0.7412</w:t>
            </w:r>
          </w:p>
        </w:tc>
        <w:tc>
          <w:tcPr>
            <w:tcW w:type="dxa" w:w="737"/>
          </w:tcPr>
          <w:p>
            <w:pPr>
              <w:spacing w:before="40" w:after="40"/>
              <w:jc w:val="center"/>
            </w:pPr>
            <w:r/>
            <w:r>
              <w:rPr>
                <w:rFonts w:ascii="JetBrains Mono" w:hAnsi="JetBrains Mono" w:cs="JetBrains Mono" w:eastAsia="JetBrains Mono"/>
                <w:b w:val="0"/>
                <w:i w:val="0"/>
                <w:sz w:val="18"/>
              </w:rPr>
              <w:t>0.4823</w:t>
            </w:r>
          </w:p>
        </w:tc>
        <w:tc>
          <w:tcPr>
            <w:tcW w:type="dxa" w:w="737"/>
          </w:tcPr>
          <w:p>
            <w:pPr>
              <w:spacing w:before="40" w:after="40"/>
              <w:jc w:val="center"/>
            </w:pPr>
            <w:r/>
            <w:r>
              <w:rPr>
                <w:rFonts w:ascii="JetBrains Mono" w:hAnsi="JetBrains Mono" w:cs="JetBrains Mono" w:eastAsia="JetBrains Mono"/>
                <w:b w:val="0"/>
                <w:i w:val="0"/>
                <w:sz w:val="18"/>
              </w:rPr>
              <w:t>0.3626</w:t>
            </w:r>
          </w:p>
        </w:tc>
        <w:tc>
          <w:tcPr>
            <w:tcW w:type="dxa" w:w="737"/>
          </w:tcPr>
          <w:p>
            <w:pPr>
              <w:spacing w:before="40" w:after="40"/>
              <w:jc w:val="center"/>
            </w:pPr>
            <w:r/>
            <w:r>
              <w:rPr>
                <w:rFonts w:ascii="JetBrains Mono" w:hAnsi="JetBrains Mono" w:cs="JetBrains Mono" w:eastAsia="JetBrains Mono"/>
                <w:b w:val="0"/>
                <w:i w:val="0"/>
                <w:sz w:val="18"/>
              </w:rPr>
              <w:t>0.1940</w:t>
            </w:r>
          </w:p>
        </w:tc>
        <w:tc>
          <w:tcPr>
            <w:tcW w:type="dxa" w:w="737"/>
          </w:tcPr>
          <w:p>
            <w:pPr>
              <w:spacing w:before="40" w:after="40"/>
              <w:jc w:val="center"/>
            </w:pPr>
            <w:r/>
            <w:r>
              <w:rPr>
                <w:rFonts w:ascii="JetBrains Mono" w:hAnsi="JetBrains Mono" w:cs="JetBrains Mono" w:eastAsia="JetBrains Mono"/>
                <w:b w:val="0"/>
                <w:i w:val="0"/>
                <w:sz w:val="18"/>
              </w:rPr>
              <w:t>0.2288</w:t>
            </w:r>
          </w:p>
        </w:tc>
        <w:tc>
          <w:tcPr>
            <w:tcW w:type="dxa" w:w="737"/>
          </w:tcPr>
          <w:p>
            <w:pPr>
              <w:spacing w:before="40" w:after="40"/>
              <w:jc w:val="center"/>
            </w:pPr>
            <w:r/>
            <w:r>
              <w:rPr>
                <w:rFonts w:ascii="JetBrains Mono" w:hAnsi="JetBrains Mono" w:cs="JetBrains Mono" w:eastAsia="JetBrains Mono"/>
                <w:b w:val="0"/>
                <w:i w:val="0"/>
                <w:sz w:val="18"/>
              </w:rPr>
              <w:t>0.1535</w:t>
            </w:r>
          </w:p>
        </w:tc>
        <w:tc>
          <w:tcPr>
            <w:tcW w:type="dxa" w:w="737"/>
          </w:tcPr>
          <w:p>
            <w:pPr>
              <w:spacing w:before="40" w:after="40"/>
              <w:jc w:val="center"/>
            </w:pPr>
            <w:r/>
            <w:r>
              <w:rPr>
                <w:rFonts w:ascii="JetBrains Mono" w:hAnsi="JetBrains Mono" w:cs="JetBrains Mono" w:eastAsia="JetBrains Mono"/>
                <w:b w:val="0"/>
                <w:i w:val="0"/>
                <w:sz w:val="18"/>
              </w:rPr>
              <w:t>1.0000</w:t>
            </w:r>
          </w:p>
        </w:tc>
        <w:tc>
          <w:tcPr>
            <w:tcW w:type="dxa" w:w="850"/>
          </w:tcPr>
          <w:p>
            <w:pPr>
              <w:spacing w:before="40" w:after="40"/>
              <w:jc w:val="center"/>
            </w:pPr>
            <w:r/>
            <w:r>
              <w:rPr>
                <w:rFonts w:ascii="JetBrains Mono" w:hAnsi="JetBrains Mono" w:cs="JetBrains Mono" w:eastAsia="JetBrains Mono"/>
                <w:b w:val="0"/>
                <w:i w:val="0"/>
                <w:sz w:val="18"/>
              </w:rPr>
              <w:t>0.0831</w:t>
            </w:r>
          </w:p>
        </w:tc>
      </w:tr>
      <w:tr>
        <w:tc>
          <w:tcPr>
            <w:tcW w:type="dxa" w:w="1587"/>
          </w:tcPr>
          <w:p>
            <w:pPr>
              <w:spacing w:before="40" w:after="40"/>
              <w:jc w:val="left"/>
            </w:pPr>
            <w:r/>
            <w:r>
              <w:rPr>
                <w:rFonts w:ascii="JetBrains Mono" w:hAnsi="JetBrains Mono" w:cs="JetBrains Mono" w:eastAsia="JetBrains Mono"/>
                <w:b w:val="0"/>
                <w:i w:val="0"/>
                <w:sz w:val="18"/>
              </w:rPr>
              <w:t>LightGBM</w:t>
            </w:r>
          </w:p>
        </w:tc>
        <w:tc>
          <w:tcPr>
            <w:tcW w:type="dxa" w:w="737"/>
          </w:tcPr>
          <w:p>
            <w:pPr>
              <w:spacing w:before="40" w:after="40"/>
              <w:jc w:val="center"/>
            </w:pPr>
            <w:r/>
            <w:r>
              <w:rPr>
                <w:rFonts w:ascii="JetBrains Mono" w:hAnsi="JetBrains Mono" w:cs="JetBrains Mono" w:eastAsia="JetBrains Mono"/>
                <w:b w:val="0"/>
                <w:i w:val="0"/>
                <w:sz w:val="18"/>
              </w:rPr>
              <w:t>0.7594</w:t>
            </w:r>
          </w:p>
        </w:tc>
        <w:tc>
          <w:tcPr>
            <w:tcW w:type="dxa" w:w="737"/>
          </w:tcPr>
          <w:p>
            <w:pPr>
              <w:spacing w:before="40" w:after="40"/>
              <w:jc w:val="center"/>
            </w:pPr>
            <w:r/>
            <w:r>
              <w:rPr>
                <w:rFonts w:ascii="JetBrains Mono" w:hAnsi="JetBrains Mono" w:cs="JetBrains Mono" w:eastAsia="JetBrains Mono"/>
                <w:b w:val="0"/>
                <w:i w:val="0"/>
                <w:sz w:val="18"/>
              </w:rPr>
              <w:t>0.5188</w:t>
            </w:r>
          </w:p>
        </w:tc>
        <w:tc>
          <w:tcPr>
            <w:tcW w:type="dxa" w:w="737"/>
          </w:tcPr>
          <w:p>
            <w:pPr>
              <w:spacing w:before="40" w:after="40"/>
              <w:jc w:val="center"/>
            </w:pPr>
            <w:r/>
            <w:r>
              <w:rPr>
                <w:rFonts w:ascii="JetBrains Mono" w:hAnsi="JetBrains Mono" w:cs="JetBrains Mono" w:eastAsia="JetBrains Mono"/>
                <w:b w:val="0"/>
                <w:i w:val="0"/>
                <w:sz w:val="18"/>
              </w:rPr>
              <w:t>0.3858</w:t>
            </w:r>
          </w:p>
        </w:tc>
        <w:tc>
          <w:tcPr>
            <w:tcW w:type="dxa" w:w="737"/>
          </w:tcPr>
          <w:p>
            <w:pPr>
              <w:spacing w:before="40" w:after="40"/>
              <w:jc w:val="center"/>
            </w:pPr>
            <w:r/>
            <w:r>
              <w:rPr>
                <w:rFonts w:ascii="JetBrains Mono" w:hAnsi="JetBrains Mono" w:cs="JetBrains Mono" w:eastAsia="JetBrains Mono"/>
                <w:b w:val="0"/>
                <w:i w:val="0"/>
                <w:sz w:val="18"/>
              </w:rPr>
              <w:t>0.0677</w:t>
            </w:r>
          </w:p>
        </w:tc>
        <w:tc>
          <w:tcPr>
            <w:tcW w:type="dxa" w:w="737"/>
          </w:tcPr>
          <w:p>
            <w:pPr>
              <w:spacing w:before="40" w:after="40"/>
              <w:jc w:val="center"/>
            </w:pPr>
            <w:r/>
            <w:r>
              <w:rPr>
                <w:rFonts w:ascii="JetBrains Mono" w:hAnsi="JetBrains Mono" w:cs="JetBrains Mono" w:eastAsia="JetBrains Mono"/>
                <w:b w:val="0"/>
                <w:i w:val="0"/>
                <w:sz w:val="18"/>
              </w:rPr>
              <w:t>0.2365</w:t>
            </w:r>
          </w:p>
        </w:tc>
        <w:tc>
          <w:tcPr>
            <w:tcW w:type="dxa" w:w="737"/>
          </w:tcPr>
          <w:p>
            <w:pPr>
              <w:spacing w:before="40" w:after="40"/>
              <w:jc w:val="center"/>
            </w:pPr>
            <w:r/>
            <w:r>
              <w:rPr>
                <w:rFonts w:ascii="JetBrains Mono" w:hAnsi="JetBrains Mono" w:cs="JetBrains Mono" w:eastAsia="JetBrains Mono"/>
                <w:b w:val="0"/>
                <w:i w:val="0"/>
                <w:sz w:val="18"/>
              </w:rPr>
              <w:t>0.2294</w:t>
            </w:r>
          </w:p>
        </w:tc>
        <w:tc>
          <w:tcPr>
            <w:tcW w:type="dxa" w:w="737"/>
          </w:tcPr>
          <w:p>
            <w:pPr>
              <w:spacing w:before="40" w:after="40"/>
              <w:jc w:val="center"/>
            </w:pPr>
            <w:r/>
            <w:r>
              <w:rPr>
                <w:rFonts w:ascii="JetBrains Mono" w:hAnsi="JetBrains Mono" w:cs="JetBrains Mono" w:eastAsia="JetBrains Mono"/>
                <w:b w:val="0"/>
                <w:i w:val="0"/>
                <w:sz w:val="18"/>
              </w:rPr>
              <w:t>0.8375</w:t>
            </w:r>
          </w:p>
        </w:tc>
        <w:tc>
          <w:tcPr>
            <w:tcW w:type="dxa" w:w="850"/>
          </w:tcPr>
          <w:p>
            <w:pPr>
              <w:spacing w:before="40" w:after="40"/>
              <w:jc w:val="center"/>
            </w:pPr>
            <w:r/>
            <w:r>
              <w:rPr>
                <w:rFonts w:ascii="JetBrains Mono" w:hAnsi="JetBrains Mono" w:cs="JetBrains Mono" w:eastAsia="JetBrains Mono"/>
                <w:b w:val="0"/>
                <w:i w:val="0"/>
                <w:sz w:val="18"/>
              </w:rPr>
              <w:t>0.1329</w:t>
            </w:r>
          </w:p>
        </w:tc>
      </w:tr>
      <w:tr>
        <w:tc>
          <w:tcPr>
            <w:tcW w:type="dxa" w:w="1587"/>
          </w:tcPr>
          <w:p>
            <w:pPr>
              <w:spacing w:before="40" w:after="40"/>
              <w:jc w:val="left"/>
            </w:pPr>
            <w:r/>
            <w:r>
              <w:rPr>
                <w:rFonts w:ascii="JetBrains Mono" w:hAnsi="JetBrains Mono" w:cs="JetBrains Mono" w:eastAsia="JetBrains Mono"/>
                <w:b w:val="0"/>
                <w:i w:val="0"/>
                <w:sz w:val="18"/>
              </w:rPr>
              <w:t>LightGBM_calibrated</w:t>
            </w:r>
          </w:p>
        </w:tc>
        <w:tc>
          <w:tcPr>
            <w:tcW w:type="dxa" w:w="737"/>
          </w:tcPr>
          <w:p>
            <w:pPr>
              <w:spacing w:before="40" w:after="40"/>
              <w:jc w:val="center"/>
            </w:pPr>
            <w:r/>
            <w:r>
              <w:rPr>
                <w:rFonts w:ascii="JetBrains Mono" w:hAnsi="JetBrains Mono" w:cs="JetBrains Mono" w:eastAsia="JetBrains Mono"/>
                <w:b w:val="0"/>
                <w:i w:val="0"/>
                <w:sz w:val="18"/>
              </w:rPr>
              <w:t>0.7582</w:t>
            </w:r>
          </w:p>
        </w:tc>
        <w:tc>
          <w:tcPr>
            <w:tcW w:type="dxa" w:w="737"/>
          </w:tcPr>
          <w:p>
            <w:pPr>
              <w:spacing w:before="40" w:after="40"/>
              <w:jc w:val="center"/>
            </w:pPr>
            <w:r/>
            <w:r>
              <w:rPr>
                <w:rFonts w:ascii="JetBrains Mono" w:hAnsi="JetBrains Mono" w:cs="JetBrains Mono" w:eastAsia="JetBrains Mono"/>
                <w:b w:val="0"/>
                <w:i w:val="0"/>
                <w:sz w:val="18"/>
              </w:rPr>
              <w:t>0.5164</w:t>
            </w:r>
          </w:p>
        </w:tc>
        <w:tc>
          <w:tcPr>
            <w:tcW w:type="dxa" w:w="737"/>
          </w:tcPr>
          <w:p>
            <w:pPr>
              <w:spacing w:before="40" w:after="40"/>
              <w:jc w:val="center"/>
            </w:pPr>
            <w:r/>
            <w:r>
              <w:rPr>
                <w:rFonts w:ascii="JetBrains Mono" w:hAnsi="JetBrains Mono" w:cs="JetBrains Mono" w:eastAsia="JetBrains Mono"/>
                <w:b w:val="0"/>
                <w:i w:val="0"/>
                <w:sz w:val="18"/>
              </w:rPr>
              <w:t>0.3751</w:t>
            </w:r>
          </w:p>
        </w:tc>
        <w:tc>
          <w:tcPr>
            <w:tcW w:type="dxa" w:w="737"/>
          </w:tcPr>
          <w:p>
            <w:pPr>
              <w:spacing w:before="40" w:after="40"/>
              <w:jc w:val="center"/>
            </w:pPr>
            <w:r/>
            <w:r>
              <w:rPr>
                <w:rFonts w:ascii="JetBrains Mono" w:hAnsi="JetBrains Mono" w:cs="JetBrains Mono" w:eastAsia="JetBrains Mono"/>
                <w:b w:val="0"/>
                <w:i w:val="0"/>
                <w:sz w:val="18"/>
              </w:rPr>
              <w:t>0.0678</w:t>
            </w:r>
          </w:p>
        </w:tc>
        <w:tc>
          <w:tcPr>
            <w:tcW w:type="dxa" w:w="737"/>
          </w:tcPr>
          <w:p>
            <w:pPr>
              <w:spacing w:before="40" w:after="40"/>
              <w:jc w:val="center"/>
            </w:pPr>
            <w:r/>
            <w:r>
              <w:rPr>
                <w:rFonts w:ascii="JetBrains Mono" w:hAnsi="JetBrains Mono" w:cs="JetBrains Mono" w:eastAsia="JetBrains Mono"/>
                <w:b w:val="0"/>
                <w:i w:val="0"/>
                <w:sz w:val="18"/>
              </w:rPr>
              <w:t>0.2282</w:t>
            </w:r>
          </w:p>
        </w:tc>
        <w:tc>
          <w:tcPr>
            <w:tcW w:type="dxa" w:w="737"/>
          </w:tcPr>
          <w:p>
            <w:pPr>
              <w:spacing w:before="40" w:after="40"/>
              <w:jc w:val="center"/>
            </w:pPr>
            <w:r/>
            <w:r>
              <w:rPr>
                <w:rFonts w:ascii="JetBrains Mono" w:hAnsi="JetBrains Mono" w:cs="JetBrains Mono" w:eastAsia="JetBrains Mono"/>
                <w:b w:val="0"/>
                <w:i w:val="0"/>
                <w:sz w:val="18"/>
              </w:rPr>
              <w:t>0.2232</w:t>
            </w:r>
          </w:p>
        </w:tc>
        <w:tc>
          <w:tcPr>
            <w:tcW w:type="dxa" w:w="737"/>
          </w:tcPr>
          <w:p>
            <w:pPr>
              <w:spacing w:before="40" w:after="40"/>
              <w:jc w:val="center"/>
            </w:pPr>
            <w:r/>
            <w:r>
              <w:rPr>
                <w:rFonts w:ascii="JetBrains Mono" w:hAnsi="JetBrains Mono" w:cs="JetBrains Mono" w:eastAsia="JetBrains Mono"/>
                <w:b w:val="0"/>
                <w:i w:val="0"/>
                <w:sz w:val="18"/>
              </w:rPr>
              <w:t>0.8624</w:t>
            </w:r>
          </w:p>
        </w:tc>
        <w:tc>
          <w:tcPr>
            <w:tcW w:type="dxa" w:w="850"/>
          </w:tcPr>
          <w:p>
            <w:pPr>
              <w:spacing w:before="40" w:after="40"/>
              <w:jc w:val="center"/>
            </w:pPr>
            <w:r/>
            <w:r>
              <w:rPr>
                <w:rFonts w:ascii="JetBrains Mono" w:hAnsi="JetBrains Mono" w:cs="JetBrains Mono" w:eastAsia="JetBrains Mono"/>
                <w:b w:val="0"/>
                <w:i w:val="0"/>
                <w:sz w:val="18"/>
              </w:rPr>
              <w:t>0.1282</w:t>
            </w:r>
          </w:p>
        </w:tc>
      </w:tr>
    </w:tbl>
    <w:p>
      <w:pPr>
        <w:spacing w:before="0" w:after="200"/>
        <w:jc w:val="center"/>
      </w:pPr>
      <w:r>
        <w:rPr>
          <w:rFonts w:ascii="Times New Roman" w:hAnsi="Times New Roman" w:cs="Times New Roman" w:eastAsia="Times New Roman"/>
          <w:b w:val="0"/>
          <w:i/>
          <w:color w:val="666666"/>
          <w:sz w:val="18"/>
        </w:rPr>
        <w:t>Table 4.  Test-set metrics across four candidate models.</w:t>
      </w:r>
    </w:p>
    <w:p>
      <w:pPr>
        <w:spacing w:before="280" w:after="120"/>
      </w:pPr>
      <w:r>
        <w:rPr>
          <w:rFonts w:ascii="JetBrains Mono" w:hAnsi="JetBrains Mono" w:cs="JetBrains Mono" w:eastAsia="JetBrains Mono"/>
          <w:b/>
          <w:i w:val="0"/>
          <w:color w:val="0F0F0F"/>
          <w:sz w:val="28"/>
        </w:rPr>
        <w:t>4.2.  Evaluation Curves</w:t>
      </w:r>
    </w:p>
    <w:p>
      <w:pPr>
        <w:spacing w:before="0" w:after="120" w:line="336" w:lineRule="auto"/>
        <w:ind w:firstLine="283"/>
      </w:pPr>
      <w:r>
        <w:rPr>
          <w:rFonts w:ascii="Times New Roman" w:hAnsi="Times New Roman" w:cs="Times New Roman" w:eastAsia="Times New Roman"/>
          <w:b w:val="0"/>
          <w:i w:val="0"/>
          <w:sz w:val="24"/>
        </w:rPr>
        <w:t>Figure 8 overlays ROC, Figure 9 the PR curve, Figure 10 the KS plot and Figure 11 the calibration plot.  The ROC curve sits comfortably above the diagonal; the PR curve confirms that the model's precision is far above the base rate of 0.08 for low-recall operating points.  The KS statistic peaks at 0.375 — well above the 0.30 'good' benchmark in credit scoring [Siddiqui, 2013].  The reliability plot shows that calibrated probabilities are close to empirical frequencies across the bulk of the score range, with mild over-confidence in the 0.1–0.3 band — a common isotonic-regression artefact that could be addressed with Platt scaling in a future iteration.</w:t>
      </w:r>
    </w:p>
    <w:p>
      <w:pPr>
        <w:spacing w:before="120" w:after="40"/>
        <w:jc w:val="center"/>
      </w:pPr>
      <w:r>
        <w:drawing>
          <wp:inline xmlns:a="http://schemas.openxmlformats.org/drawingml/2006/main" xmlns:pic="http://schemas.openxmlformats.org/drawingml/2006/picture">
            <wp:extent cx="2700000" cy="2311487"/>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2700000" cy="2311487"/>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8.  ROC curves for the four candidate models (test set).</w:t>
      </w:r>
    </w:p>
    <w:p>
      <w:pPr>
        <w:spacing w:before="120" w:after="40"/>
        <w:jc w:val="center"/>
      </w:pPr>
      <w:r>
        <w:drawing>
          <wp:inline xmlns:a="http://schemas.openxmlformats.org/drawingml/2006/main" xmlns:pic="http://schemas.openxmlformats.org/drawingml/2006/picture">
            <wp:extent cx="2700000" cy="2311487"/>
            <wp:docPr id="5" name="Picture 5"/>
            <wp:cNvGraphicFramePr>
              <a:graphicFrameLocks noChangeAspect="1"/>
            </wp:cNvGraphicFramePr>
            <a:graphic>
              <a:graphicData uri="http://schemas.openxmlformats.org/drawingml/2006/picture">
                <pic:pic>
                  <pic:nvPicPr>
                    <pic:cNvPr id="0" name="pr_curve.png"/>
                    <pic:cNvPicPr/>
                  </pic:nvPicPr>
                  <pic:blipFill>
                    <a:blip r:embed="rId13"/>
                    <a:stretch>
                      <a:fillRect/>
                    </a:stretch>
                  </pic:blipFill>
                  <pic:spPr>
                    <a:xfrm>
                      <a:off x="0" y="0"/>
                      <a:ext cx="2700000" cy="2311487"/>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9.  Precision-Recall curves for the two LightGBM models (test set).</w:t>
      </w:r>
    </w:p>
    <w:p>
      <w:pPr>
        <w:spacing w:before="120" w:after="40"/>
        <w:jc w:val="center"/>
      </w:pPr>
      <w:r>
        <w:drawing>
          <wp:inline xmlns:a="http://schemas.openxmlformats.org/drawingml/2006/main" xmlns:pic="http://schemas.openxmlformats.org/drawingml/2006/picture">
            <wp:extent cx="2700000" cy="1676452"/>
            <wp:docPr id="6" name="Picture 6"/>
            <wp:cNvGraphicFramePr>
              <a:graphicFrameLocks noChangeAspect="1"/>
            </wp:cNvGraphicFramePr>
            <a:graphic>
              <a:graphicData uri="http://schemas.openxmlformats.org/drawingml/2006/picture">
                <pic:pic>
                  <pic:nvPicPr>
                    <pic:cNvPr id="0" name="ks_plot.png"/>
                    <pic:cNvPicPr/>
                  </pic:nvPicPr>
                  <pic:blipFill>
                    <a:blip r:embed="rId14"/>
                    <a:stretch>
                      <a:fillRect/>
                    </a:stretch>
                  </pic:blipFill>
                  <pic:spPr>
                    <a:xfrm>
                      <a:off x="0" y="0"/>
                      <a:ext cx="2700000" cy="1676452"/>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10.  Kolmogorov-Smirnov plots for the two LightGBM models (test set).</w:t>
      </w:r>
    </w:p>
    <w:p>
      <w:pPr>
        <w:spacing w:before="120" w:after="40"/>
        <w:jc w:val="center"/>
      </w:pPr>
      <w:r>
        <w:drawing>
          <wp:inline xmlns:a="http://schemas.openxmlformats.org/drawingml/2006/main" xmlns:pic="http://schemas.openxmlformats.org/drawingml/2006/picture">
            <wp:extent cx="2700000" cy="2311487"/>
            <wp:docPr id="7" name="Picture 7"/>
            <wp:cNvGraphicFramePr>
              <a:graphicFrameLocks noChangeAspect="1"/>
            </wp:cNvGraphicFramePr>
            <a:graphic>
              <a:graphicData uri="http://schemas.openxmlformats.org/drawingml/2006/picture">
                <pic:pic>
                  <pic:nvPicPr>
                    <pic:cNvPr id="0" name="calibration_curve.png"/>
                    <pic:cNvPicPr/>
                  </pic:nvPicPr>
                  <pic:blipFill>
                    <a:blip r:embed="rId15"/>
                    <a:stretch>
                      <a:fillRect/>
                    </a:stretch>
                  </pic:blipFill>
                  <pic:spPr>
                    <a:xfrm>
                      <a:off x="0" y="0"/>
                      <a:ext cx="2700000" cy="2311487"/>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11.  Reliability / calibration plot for the selected model (test set).</w:t>
      </w:r>
    </w:p>
    <w:p>
      <w:pPr>
        <w:spacing w:before="280" w:after="120"/>
      </w:pPr>
      <w:r>
        <w:rPr>
          <w:rFonts w:ascii="JetBrains Mono" w:hAnsi="JetBrains Mono" w:cs="JetBrains Mono" w:eastAsia="JetBrains Mono"/>
          <w:b/>
          <w:i w:val="0"/>
          <w:color w:val="0F0F0F"/>
          <w:sz w:val="28"/>
        </w:rPr>
        <w:t>4.3.  Feature Importance</w:t>
      </w:r>
    </w:p>
    <w:p>
      <w:pPr>
        <w:spacing w:before="0" w:after="120" w:line="336" w:lineRule="auto"/>
        <w:ind w:firstLine="283"/>
      </w:pPr>
      <w:r>
        <w:rPr>
          <w:rFonts w:ascii="Times New Roman" w:hAnsi="Times New Roman" w:cs="Times New Roman" w:eastAsia="Times New Roman"/>
          <w:b w:val="0"/>
          <w:i w:val="0"/>
          <w:sz w:val="24"/>
        </w:rPr>
        <w:t>Figure 12 shows the top 25 features by LightGBM gain.  Engineered ratios and behavioural history dominate: PREV_CNT_PAYMENT_MEAN, CREDIT_TERM, EXT_SOURCE_MEAN, and the various installment / POS features account for most of the model's discriminatory power.  Raw demographic features (age, gender) appear lower in the ranking, supporting the narrative that Home Credit's value proposition comes from alternative behavioural data.</w:t>
      </w:r>
    </w:p>
    <w:p>
      <w:pPr>
        <w:spacing w:before="120" w:after="40"/>
        <w:jc w:val="center"/>
      </w:pPr>
      <w:r>
        <w:drawing>
          <wp:inline xmlns:a="http://schemas.openxmlformats.org/drawingml/2006/main" xmlns:pic="http://schemas.openxmlformats.org/drawingml/2006/picture">
            <wp:extent cx="5580000" cy="4452727"/>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580000" cy="4452727"/>
                    </a:xfrm>
                    <a:prstGeom prst="rect"/>
                  </pic:spPr>
                </pic:pic>
              </a:graphicData>
            </a:graphic>
          </wp:inline>
        </w:drawing>
      </w:r>
    </w:p>
    <w:p>
      <w:pPr>
        <w:spacing w:before="0" w:after="200"/>
        <w:jc w:val="center"/>
      </w:pPr>
      <w:r>
        <w:rPr>
          <w:rFonts w:ascii="Times New Roman" w:hAnsi="Times New Roman" w:cs="Times New Roman" w:eastAsia="Times New Roman"/>
          <w:b w:val="0"/>
          <w:i/>
          <w:color w:val="666666"/>
          <w:sz w:val="18"/>
        </w:rPr>
        <w:t>Figure 12.  Top-25 features by LightGBM gain.</w:t>
      </w:r>
    </w:p>
    <w:p>
      <w:pPr>
        <w:spacing w:before="280" w:after="120"/>
      </w:pPr>
      <w:r>
        <w:rPr>
          <w:rFonts w:ascii="JetBrains Mono" w:hAnsi="JetBrains Mono" w:cs="JetBrains Mono" w:eastAsia="JetBrains Mono"/>
          <w:b/>
          <w:i w:val="0"/>
          <w:color w:val="0F0F0F"/>
          <w:sz w:val="28"/>
        </w:rPr>
        <w:t>4.4.  Scorecard and Risk Bands</w:t>
      </w:r>
    </w:p>
    <w:p>
      <w:pPr>
        <w:spacing w:before="0" w:after="120" w:line="336" w:lineRule="auto"/>
        <w:ind w:firstLine="283"/>
      </w:pPr>
      <w:r>
        <w:rPr>
          <w:rFonts w:ascii="Times New Roman" w:hAnsi="Times New Roman" w:cs="Times New Roman" w:eastAsia="Times New Roman"/>
          <w:b w:val="0"/>
          <w:i w:val="0"/>
          <w:sz w:val="24"/>
        </w:rPr>
        <w:t>We convert PD into a credit score using the standard Siddiqui (2013) parameterisation with base = 600, PDO = 20 and odds-at-base = 50:1.  Customers are bucketed into five rating bands (A–E).  Table 5 reports the empirical default rate per band on the test set: the gradient is monotonic and well-separated, validating the scorecard.</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134"/>
            <w:shd w:val="clear" w:color="auto" w:fill="ED1C24"/>
          </w:tcPr>
          <w:p>
            <w:pPr>
              <w:spacing w:before="40" w:after="40"/>
              <w:jc w:val="left"/>
            </w:pPr>
            <w:r/>
            <w:r>
              <w:rPr>
                <w:rFonts w:ascii="JetBrains Mono" w:hAnsi="JetBrains Mono" w:cs="JetBrains Mono" w:eastAsia="JetBrains Mono"/>
                <w:b/>
                <w:i w:val="0"/>
                <w:color w:val="FFFFFF"/>
                <w:sz w:val="20"/>
              </w:rPr>
              <w:t>Rating</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Score range</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Avg PD (test)</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Default rate</w:t>
            </w:r>
          </w:p>
        </w:tc>
        <w:tc>
          <w:tcPr>
            <w:tcW w:type="dxa" w:w="1701"/>
            <w:shd w:val="clear" w:color="auto" w:fill="ED1C24"/>
          </w:tcPr>
          <w:p>
            <w:pPr>
              <w:spacing w:before="40" w:after="40"/>
              <w:jc w:val="center"/>
            </w:pPr>
            <w:r/>
            <w:r>
              <w:rPr>
                <w:rFonts w:ascii="JetBrains Mono" w:hAnsi="JetBrains Mono" w:cs="JetBrains Mono" w:eastAsia="JetBrains Mono"/>
                <w:b/>
                <w:i w:val="0"/>
                <w:color w:val="FFFFFF"/>
                <w:sz w:val="20"/>
              </w:rPr>
              <w:t>Population</w:t>
            </w:r>
          </w:p>
        </w:tc>
      </w:tr>
      <w:tr>
        <w:tc>
          <w:tcPr>
            <w:tcW w:type="dxa" w:w="1134"/>
          </w:tcPr>
          <w:p>
            <w:pPr>
              <w:spacing w:before="40" w:after="40"/>
              <w:jc w:val="left"/>
            </w:pPr>
            <w:r/>
            <w:r>
              <w:rPr>
                <w:rFonts w:ascii="JetBrains Mono" w:hAnsi="JetBrains Mono" w:cs="JetBrains Mono" w:eastAsia="JetBrains Mono"/>
                <w:b w:val="0"/>
                <w:i w:val="0"/>
                <w:sz w:val="18"/>
              </w:rPr>
              <w:t>A</w:t>
            </w:r>
          </w:p>
        </w:tc>
        <w:tc>
          <w:tcPr>
            <w:tcW w:type="dxa" w:w="1701"/>
          </w:tcPr>
          <w:p>
            <w:pPr>
              <w:spacing w:before="40" w:after="40"/>
              <w:jc w:val="center"/>
            </w:pPr>
            <w:r/>
            <w:r>
              <w:rPr>
                <w:rFonts w:ascii="JetBrains Mono" w:hAnsi="JetBrains Mono" w:cs="JetBrains Mono" w:eastAsia="JetBrains Mono"/>
                <w:b w:val="0"/>
                <w:i w:val="0"/>
                <w:sz w:val="18"/>
              </w:rPr>
              <w:t>760 – 1000</w:t>
            </w:r>
          </w:p>
        </w:tc>
        <w:tc>
          <w:tcPr>
            <w:tcW w:type="dxa" w:w="1701"/>
          </w:tcPr>
          <w:p>
            <w:pPr>
              <w:spacing w:before="40" w:after="40"/>
              <w:jc w:val="center"/>
            </w:pPr>
            <w:r/>
            <w:r>
              <w:rPr>
                <w:rFonts w:ascii="JetBrains Mono" w:hAnsi="JetBrains Mono" w:cs="JetBrains Mono" w:eastAsia="JetBrains Mono"/>
                <w:b w:val="0"/>
                <w:i w:val="0"/>
                <w:sz w:val="18"/>
              </w:rPr>
              <w:t>1.79%</w:t>
            </w:r>
          </w:p>
        </w:tc>
        <w:tc>
          <w:tcPr>
            <w:tcW w:type="dxa" w:w="1701"/>
          </w:tcPr>
          <w:p>
            <w:pPr>
              <w:spacing w:before="40" w:after="40"/>
              <w:jc w:val="center"/>
            </w:pPr>
            <w:r/>
            <w:r>
              <w:rPr>
                <w:rFonts w:ascii="JetBrains Mono" w:hAnsi="JetBrains Mono" w:cs="JetBrains Mono" w:eastAsia="JetBrains Mono"/>
                <w:b w:val="0"/>
                <w:i w:val="0"/>
                <w:sz w:val="18"/>
              </w:rPr>
              <w:t>1.92%</w:t>
            </w:r>
          </w:p>
        </w:tc>
        <w:tc>
          <w:tcPr>
            <w:tcW w:type="dxa" w:w="1701"/>
          </w:tcPr>
          <w:p>
            <w:pPr>
              <w:spacing w:before="40" w:after="40"/>
              <w:jc w:val="center"/>
            </w:pPr>
            <w:r/>
            <w:r>
              <w:rPr>
                <w:rFonts w:ascii="JetBrains Mono" w:hAnsi="JetBrains Mono" w:cs="JetBrains Mono" w:eastAsia="JetBrains Mono"/>
                <w:b w:val="0"/>
                <w:i w:val="0"/>
                <w:sz w:val="18"/>
              </w:rPr>
              <w:t>2,185</w:t>
            </w:r>
          </w:p>
        </w:tc>
      </w:tr>
      <w:tr>
        <w:tc>
          <w:tcPr>
            <w:tcW w:type="dxa" w:w="1134"/>
          </w:tcPr>
          <w:p>
            <w:pPr>
              <w:spacing w:before="40" w:after="40"/>
              <w:jc w:val="left"/>
            </w:pPr>
            <w:r/>
            <w:r>
              <w:rPr>
                <w:rFonts w:ascii="JetBrains Mono" w:hAnsi="JetBrains Mono" w:cs="JetBrains Mono" w:eastAsia="JetBrains Mono"/>
                <w:b w:val="0"/>
                <w:i w:val="0"/>
                <w:sz w:val="18"/>
              </w:rPr>
              <w:t>B</w:t>
            </w:r>
          </w:p>
        </w:tc>
        <w:tc>
          <w:tcPr>
            <w:tcW w:type="dxa" w:w="1701"/>
          </w:tcPr>
          <w:p>
            <w:pPr>
              <w:spacing w:before="40" w:after="40"/>
              <w:jc w:val="center"/>
            </w:pPr>
            <w:r/>
            <w:r>
              <w:rPr>
                <w:rFonts w:ascii="JetBrains Mono" w:hAnsi="JetBrains Mono" w:cs="JetBrains Mono" w:eastAsia="JetBrains Mono"/>
                <w:b w:val="0"/>
                <w:i w:val="0"/>
                <w:sz w:val="18"/>
              </w:rPr>
              <w:t>640 – 760</w:t>
            </w:r>
          </w:p>
        </w:tc>
        <w:tc>
          <w:tcPr>
            <w:tcW w:type="dxa" w:w="1701"/>
          </w:tcPr>
          <w:p>
            <w:pPr>
              <w:spacing w:before="40" w:after="40"/>
              <w:jc w:val="center"/>
            </w:pPr>
            <w:r/>
            <w:r>
              <w:rPr>
                <w:rFonts w:ascii="JetBrains Mono" w:hAnsi="JetBrains Mono" w:cs="JetBrains Mono" w:eastAsia="JetBrains Mono"/>
                <w:b w:val="0"/>
                <w:i w:val="0"/>
                <w:sz w:val="18"/>
              </w:rPr>
              <w:t>4.67%</w:t>
            </w:r>
          </w:p>
        </w:tc>
        <w:tc>
          <w:tcPr>
            <w:tcW w:type="dxa" w:w="1701"/>
          </w:tcPr>
          <w:p>
            <w:pPr>
              <w:spacing w:before="40" w:after="40"/>
              <w:jc w:val="center"/>
            </w:pPr>
            <w:r/>
            <w:r>
              <w:rPr>
                <w:rFonts w:ascii="JetBrains Mono" w:hAnsi="JetBrains Mono" w:cs="JetBrains Mono" w:eastAsia="JetBrains Mono"/>
                <w:b w:val="0"/>
                <w:i w:val="0"/>
                <w:sz w:val="18"/>
              </w:rPr>
              <w:t>5.02%</w:t>
            </w:r>
          </w:p>
        </w:tc>
        <w:tc>
          <w:tcPr>
            <w:tcW w:type="dxa" w:w="1701"/>
          </w:tcPr>
          <w:p>
            <w:pPr>
              <w:spacing w:before="40" w:after="40"/>
              <w:jc w:val="center"/>
            </w:pPr>
            <w:r/>
            <w:r>
              <w:rPr>
                <w:rFonts w:ascii="JetBrains Mono" w:hAnsi="JetBrains Mono" w:cs="JetBrains Mono" w:eastAsia="JetBrains Mono"/>
                <w:b w:val="0"/>
                <w:i w:val="0"/>
                <w:sz w:val="18"/>
              </w:rPr>
              <w:t>2,372</w:t>
            </w:r>
          </w:p>
        </w:tc>
      </w:tr>
      <w:tr>
        <w:tc>
          <w:tcPr>
            <w:tcW w:type="dxa" w:w="1134"/>
          </w:tcPr>
          <w:p>
            <w:pPr>
              <w:spacing w:before="40" w:after="40"/>
              <w:jc w:val="left"/>
            </w:pPr>
            <w:r/>
            <w:r>
              <w:rPr>
                <w:rFonts w:ascii="JetBrains Mono" w:hAnsi="JetBrains Mono" w:cs="JetBrains Mono" w:eastAsia="JetBrains Mono"/>
                <w:b w:val="0"/>
                <w:i w:val="0"/>
                <w:sz w:val="18"/>
              </w:rPr>
              <w:t>C</w:t>
            </w:r>
          </w:p>
        </w:tc>
        <w:tc>
          <w:tcPr>
            <w:tcW w:type="dxa" w:w="1701"/>
          </w:tcPr>
          <w:p>
            <w:pPr>
              <w:spacing w:before="40" w:after="40"/>
              <w:jc w:val="center"/>
            </w:pPr>
            <w:r/>
            <w:r>
              <w:rPr>
                <w:rFonts w:ascii="JetBrains Mono" w:hAnsi="JetBrains Mono" w:cs="JetBrains Mono" w:eastAsia="JetBrains Mono"/>
                <w:b w:val="0"/>
                <w:i w:val="0"/>
                <w:sz w:val="18"/>
              </w:rPr>
              <w:t>480 – 640</w:t>
            </w:r>
          </w:p>
        </w:tc>
        <w:tc>
          <w:tcPr>
            <w:tcW w:type="dxa" w:w="1701"/>
          </w:tcPr>
          <w:p>
            <w:pPr>
              <w:spacing w:before="40" w:after="40"/>
              <w:jc w:val="center"/>
            </w:pPr>
            <w:r/>
            <w:r>
              <w:rPr>
                <w:rFonts w:ascii="JetBrains Mono" w:hAnsi="JetBrains Mono" w:cs="JetBrains Mono" w:eastAsia="JetBrains Mono"/>
                <w:b w:val="0"/>
                <w:i w:val="0"/>
                <w:sz w:val="18"/>
              </w:rPr>
              <w:t>8.47%</w:t>
            </w:r>
          </w:p>
        </w:tc>
        <w:tc>
          <w:tcPr>
            <w:tcW w:type="dxa" w:w="1701"/>
          </w:tcPr>
          <w:p>
            <w:pPr>
              <w:spacing w:before="40" w:after="40"/>
              <w:jc w:val="center"/>
            </w:pPr>
            <w:r/>
            <w:r>
              <w:rPr>
                <w:rFonts w:ascii="JetBrains Mono" w:hAnsi="JetBrains Mono" w:cs="JetBrains Mono" w:eastAsia="JetBrains Mono"/>
                <w:b w:val="0"/>
                <w:i w:val="0"/>
                <w:sz w:val="18"/>
              </w:rPr>
              <w:t>8.70%</w:t>
            </w:r>
          </w:p>
        </w:tc>
        <w:tc>
          <w:tcPr>
            <w:tcW w:type="dxa" w:w="1701"/>
          </w:tcPr>
          <w:p>
            <w:pPr>
              <w:spacing w:before="40" w:after="40"/>
              <w:jc w:val="center"/>
            </w:pPr>
            <w:r/>
            <w:r>
              <w:rPr>
                <w:rFonts w:ascii="JetBrains Mono" w:hAnsi="JetBrains Mono" w:cs="JetBrains Mono" w:eastAsia="JetBrains Mono"/>
                <w:b w:val="0"/>
                <w:i w:val="0"/>
                <w:sz w:val="18"/>
              </w:rPr>
              <w:t>1,241</w:t>
            </w:r>
          </w:p>
        </w:tc>
      </w:tr>
      <w:tr>
        <w:tc>
          <w:tcPr>
            <w:tcW w:type="dxa" w:w="1134"/>
          </w:tcPr>
          <w:p>
            <w:pPr>
              <w:spacing w:before="40" w:after="40"/>
              <w:jc w:val="left"/>
            </w:pPr>
            <w:r/>
            <w:r>
              <w:rPr>
                <w:rFonts w:ascii="JetBrains Mono" w:hAnsi="JetBrains Mono" w:cs="JetBrains Mono" w:eastAsia="JetBrains Mono"/>
                <w:b w:val="0"/>
                <w:i w:val="0"/>
                <w:sz w:val="18"/>
              </w:rPr>
              <w:t>D</w:t>
            </w:r>
          </w:p>
        </w:tc>
        <w:tc>
          <w:tcPr>
            <w:tcW w:type="dxa" w:w="1701"/>
          </w:tcPr>
          <w:p>
            <w:pPr>
              <w:spacing w:before="40" w:after="40"/>
              <w:jc w:val="center"/>
            </w:pPr>
            <w:r/>
            <w:r>
              <w:rPr>
                <w:rFonts w:ascii="JetBrains Mono" w:hAnsi="JetBrains Mono" w:cs="JetBrains Mono" w:eastAsia="JetBrains Mono"/>
                <w:b w:val="0"/>
                <w:i w:val="0"/>
                <w:sz w:val="18"/>
              </w:rPr>
              <w:t>360 – 480</w:t>
            </w:r>
          </w:p>
        </w:tc>
        <w:tc>
          <w:tcPr>
            <w:tcW w:type="dxa" w:w="1701"/>
          </w:tcPr>
          <w:p>
            <w:pPr>
              <w:spacing w:before="40" w:after="40"/>
              <w:jc w:val="center"/>
            </w:pPr>
            <w:r/>
            <w:r>
              <w:rPr>
                <w:rFonts w:ascii="JetBrains Mono" w:hAnsi="JetBrains Mono" w:cs="JetBrains Mono" w:eastAsia="JetBrains Mono"/>
                <w:b w:val="0"/>
                <w:i w:val="0"/>
                <w:sz w:val="18"/>
              </w:rPr>
              <w:t>14.89%</w:t>
            </w:r>
          </w:p>
        </w:tc>
        <w:tc>
          <w:tcPr>
            <w:tcW w:type="dxa" w:w="1701"/>
          </w:tcPr>
          <w:p>
            <w:pPr>
              <w:spacing w:before="40" w:after="40"/>
              <w:jc w:val="center"/>
            </w:pPr>
            <w:r/>
            <w:r>
              <w:rPr>
                <w:rFonts w:ascii="JetBrains Mono" w:hAnsi="JetBrains Mono" w:cs="JetBrains Mono" w:eastAsia="JetBrains Mono"/>
                <w:b w:val="0"/>
                <w:i w:val="0"/>
                <w:sz w:val="18"/>
              </w:rPr>
              <w:t>14.84%</w:t>
            </w:r>
          </w:p>
        </w:tc>
        <w:tc>
          <w:tcPr>
            <w:tcW w:type="dxa" w:w="1701"/>
          </w:tcPr>
          <w:p>
            <w:pPr>
              <w:spacing w:before="40" w:after="40"/>
              <w:jc w:val="center"/>
            </w:pPr>
            <w:r/>
            <w:r>
              <w:rPr>
                <w:rFonts w:ascii="JetBrains Mono" w:hAnsi="JetBrains Mono" w:cs="JetBrains Mono" w:eastAsia="JetBrains Mono"/>
                <w:b w:val="0"/>
                <w:i w:val="0"/>
                <w:sz w:val="18"/>
              </w:rPr>
              <w:t>1,166</w:t>
            </w:r>
          </w:p>
        </w:tc>
      </w:tr>
      <w:tr>
        <w:tc>
          <w:tcPr>
            <w:tcW w:type="dxa" w:w="1134"/>
          </w:tcPr>
          <w:p>
            <w:pPr>
              <w:spacing w:before="40" w:after="40"/>
              <w:jc w:val="left"/>
            </w:pPr>
            <w:r/>
            <w:r>
              <w:rPr>
                <w:rFonts w:ascii="JetBrains Mono" w:hAnsi="JetBrains Mono" w:cs="JetBrains Mono" w:eastAsia="JetBrains Mono"/>
                <w:b w:val="0"/>
                <w:i w:val="0"/>
                <w:sz w:val="18"/>
              </w:rPr>
              <w:t>E</w:t>
            </w:r>
          </w:p>
        </w:tc>
        <w:tc>
          <w:tcPr>
            <w:tcW w:type="dxa" w:w="1701"/>
          </w:tcPr>
          <w:p>
            <w:pPr>
              <w:spacing w:before="40" w:after="40"/>
              <w:jc w:val="center"/>
            </w:pPr>
            <w:r/>
            <w:r>
              <w:rPr>
                <w:rFonts w:ascii="JetBrains Mono" w:hAnsi="JetBrains Mono" w:cs="JetBrains Mono" w:eastAsia="JetBrains Mono"/>
                <w:b w:val="0"/>
                <w:i w:val="0"/>
                <w:sz w:val="18"/>
              </w:rPr>
              <w:t>0 – 360</w:t>
            </w:r>
          </w:p>
        </w:tc>
        <w:tc>
          <w:tcPr>
            <w:tcW w:type="dxa" w:w="1701"/>
          </w:tcPr>
          <w:p>
            <w:pPr>
              <w:spacing w:before="40" w:after="40"/>
              <w:jc w:val="center"/>
            </w:pPr>
            <w:r/>
            <w:r>
              <w:rPr>
                <w:rFonts w:ascii="JetBrains Mono" w:hAnsi="JetBrains Mono" w:cs="JetBrains Mono" w:eastAsia="JetBrains Mono"/>
                <w:b w:val="0"/>
                <w:i w:val="0"/>
                <w:sz w:val="18"/>
              </w:rPr>
              <w:t>31.59%</w:t>
            </w:r>
          </w:p>
        </w:tc>
        <w:tc>
          <w:tcPr>
            <w:tcW w:type="dxa" w:w="1701"/>
          </w:tcPr>
          <w:p>
            <w:pPr>
              <w:spacing w:before="40" w:after="40"/>
              <w:jc w:val="center"/>
            </w:pPr>
            <w:r/>
            <w:r>
              <w:rPr>
                <w:rFonts w:ascii="JetBrains Mono" w:hAnsi="JetBrains Mono" w:cs="JetBrains Mono" w:eastAsia="JetBrains Mono"/>
                <w:b w:val="0"/>
                <w:i w:val="0"/>
                <w:sz w:val="18"/>
              </w:rPr>
              <w:t>30.04%</w:t>
            </w:r>
          </w:p>
        </w:tc>
        <w:tc>
          <w:tcPr>
            <w:tcW w:type="dxa" w:w="1701"/>
          </w:tcPr>
          <w:p>
            <w:pPr>
              <w:spacing w:before="40" w:after="40"/>
              <w:jc w:val="center"/>
            </w:pPr>
            <w:r/>
            <w:r>
              <w:rPr>
                <w:rFonts w:ascii="JetBrains Mono" w:hAnsi="JetBrains Mono" w:cs="JetBrains Mono" w:eastAsia="JetBrains Mono"/>
                <w:b w:val="0"/>
                <w:i w:val="0"/>
                <w:sz w:val="18"/>
              </w:rPr>
              <w:t>536</w:t>
            </w:r>
          </w:p>
        </w:tc>
      </w:tr>
    </w:tbl>
    <w:p>
      <w:pPr>
        <w:spacing w:before="0" w:after="200"/>
        <w:jc w:val="center"/>
      </w:pPr>
      <w:r>
        <w:rPr>
          <w:rFonts w:ascii="Times New Roman" w:hAnsi="Times New Roman" w:cs="Times New Roman" w:eastAsia="Times New Roman"/>
          <w:b w:val="0"/>
          <w:i/>
          <w:color w:val="666666"/>
          <w:sz w:val="18"/>
        </w:rPr>
        <w:t>Table 5.  Risk-band distribution and empirical default rate (test set).</w:t>
      </w:r>
    </w:p>
    <w:p>
      <w:pPr>
        <w:spacing w:before="280" w:after="120"/>
      </w:pPr>
      <w:r>
        <w:rPr>
          <w:rFonts w:ascii="JetBrains Mono" w:hAnsi="JetBrains Mono" w:cs="JetBrains Mono" w:eastAsia="JetBrains Mono"/>
          <w:b/>
          <w:i w:val="0"/>
          <w:color w:val="0F0F0F"/>
          <w:sz w:val="28"/>
        </w:rPr>
        <w:t>4.5.  Business Impact</w:t>
      </w:r>
    </w:p>
    <w:p>
      <w:pPr>
        <w:spacing w:before="0" w:after="120" w:line="336" w:lineRule="auto"/>
        <w:ind w:firstLine="283"/>
      </w:pPr>
      <w:r>
        <w:rPr>
          <w:rFonts w:ascii="Times New Roman" w:hAnsi="Times New Roman" w:cs="Times New Roman" w:eastAsia="Times New Roman"/>
          <w:b w:val="0"/>
          <w:i w:val="0"/>
          <w:sz w:val="24"/>
        </w:rPr>
        <w:t>At τ = 0.05 the model flags 4 057 of 7 500 customers for review (54%).  Of these, 520 are true defaulters — that is, the model recovers 86.2% of the 603 defaulters present in the test fold.  The associated false-positive rate (4 057 − 520 = 3 537) is the cost of doing business: those applicants are sent to manual review or pricing adjustment rather than auto-approved.  Table 6 reports the capture rate and lift over the base rate by risk band.</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shd w:val="clear" w:color="auto" w:fill="ED1C24"/>
          </w:tcPr>
          <w:p>
            <w:pPr>
              <w:spacing w:before="40" w:after="40"/>
              <w:jc w:val="left"/>
            </w:pPr>
            <w:r/>
            <w:r>
              <w:rPr>
                <w:rFonts w:ascii="JetBrains Mono" w:hAnsi="JetBrains Mono" w:cs="JetBrains Mono" w:eastAsia="JetBrains Mono"/>
                <w:b/>
                <w:i w:val="0"/>
                <w:color w:val="FFFFFF"/>
                <w:sz w:val="20"/>
              </w:rPr>
              <w:t>Rating</w:t>
            </w:r>
          </w:p>
        </w:tc>
        <w:tc>
          <w:tcPr>
            <w:tcW w:type="dxa" w:w="1417"/>
            <w:shd w:val="clear" w:color="auto" w:fill="ED1C24"/>
          </w:tcPr>
          <w:p>
            <w:pPr>
              <w:spacing w:before="40" w:after="40"/>
              <w:jc w:val="center"/>
            </w:pPr>
            <w:r/>
            <w:r>
              <w:rPr>
                <w:rFonts w:ascii="JetBrains Mono" w:hAnsi="JetBrains Mono" w:cs="JetBrains Mono" w:eastAsia="JetBrains Mono"/>
                <w:b/>
                <w:i w:val="0"/>
                <w:color w:val="FFFFFF"/>
                <w:sz w:val="20"/>
              </w:rPr>
              <w:t>Population</w:t>
            </w:r>
          </w:p>
        </w:tc>
        <w:tc>
          <w:tcPr>
            <w:tcW w:type="dxa" w:w="1417"/>
            <w:shd w:val="clear" w:color="auto" w:fill="ED1C24"/>
          </w:tcPr>
          <w:p>
            <w:pPr>
              <w:spacing w:before="40" w:after="40"/>
              <w:jc w:val="center"/>
            </w:pPr>
            <w:r/>
            <w:r>
              <w:rPr>
                <w:rFonts w:ascii="JetBrains Mono" w:hAnsi="JetBrains Mono" w:cs="JetBrains Mono" w:eastAsia="JetBrains Mono"/>
                <w:b/>
                <w:i w:val="0"/>
                <w:color w:val="FFFFFF"/>
                <w:sz w:val="20"/>
              </w:rPr>
              <w:t>Defaulters</w:t>
            </w:r>
          </w:p>
        </w:tc>
        <w:tc>
          <w:tcPr>
            <w:tcW w:type="dxa" w:w="1417"/>
            <w:shd w:val="clear" w:color="auto" w:fill="ED1C24"/>
          </w:tcPr>
          <w:p>
            <w:pPr>
              <w:spacing w:before="40" w:after="40"/>
              <w:jc w:val="center"/>
            </w:pPr>
            <w:r/>
            <w:r>
              <w:rPr>
                <w:rFonts w:ascii="JetBrains Mono" w:hAnsi="JetBrains Mono" w:cs="JetBrains Mono" w:eastAsia="JetBrains Mono"/>
                <w:b/>
                <w:i w:val="0"/>
                <w:color w:val="FFFFFF"/>
                <w:sz w:val="20"/>
              </w:rPr>
              <w:t>Capture rate</w:t>
            </w:r>
          </w:p>
        </w:tc>
        <w:tc>
          <w:tcPr>
            <w:tcW w:type="dxa" w:w="1417"/>
            <w:shd w:val="clear" w:color="auto" w:fill="ED1C24"/>
          </w:tcPr>
          <w:p>
            <w:pPr>
              <w:spacing w:before="40" w:after="40"/>
              <w:jc w:val="center"/>
            </w:pPr>
            <w:r/>
            <w:r>
              <w:rPr>
                <w:rFonts w:ascii="JetBrains Mono" w:hAnsi="JetBrains Mono" w:cs="JetBrains Mono" w:eastAsia="JetBrains Mono"/>
                <w:b/>
                <w:i w:val="0"/>
                <w:color w:val="FFFFFF"/>
                <w:sz w:val="20"/>
              </w:rPr>
              <w:t>Lift over base</w:t>
            </w:r>
          </w:p>
        </w:tc>
      </w:tr>
      <w:tr>
        <w:tc>
          <w:tcPr>
            <w:tcW w:type="dxa" w:w="1417"/>
          </w:tcPr>
          <w:p>
            <w:pPr>
              <w:spacing w:before="40" w:after="40"/>
              <w:jc w:val="left"/>
            </w:pPr>
            <w:r/>
            <w:r>
              <w:rPr>
                <w:rFonts w:ascii="JetBrains Mono" w:hAnsi="JetBrains Mono" w:cs="JetBrains Mono" w:eastAsia="JetBrains Mono"/>
                <w:b w:val="0"/>
                <w:i w:val="0"/>
                <w:sz w:val="18"/>
              </w:rPr>
              <w:t>Band A</w:t>
            </w:r>
          </w:p>
        </w:tc>
        <w:tc>
          <w:tcPr>
            <w:tcW w:type="dxa" w:w="1417"/>
          </w:tcPr>
          <w:p>
            <w:pPr>
              <w:spacing w:before="40" w:after="40"/>
              <w:jc w:val="center"/>
            </w:pPr>
            <w:r/>
            <w:r>
              <w:rPr>
                <w:rFonts w:ascii="JetBrains Mono" w:hAnsi="JetBrains Mono" w:cs="JetBrains Mono" w:eastAsia="JetBrains Mono"/>
                <w:b w:val="0"/>
                <w:i w:val="0"/>
                <w:sz w:val="18"/>
              </w:rPr>
              <w:t>2,185</w:t>
            </w:r>
          </w:p>
        </w:tc>
        <w:tc>
          <w:tcPr>
            <w:tcW w:type="dxa" w:w="1417"/>
          </w:tcPr>
          <w:p>
            <w:pPr>
              <w:spacing w:before="40" w:after="40"/>
              <w:jc w:val="center"/>
            </w:pPr>
            <w:r/>
            <w:r>
              <w:rPr>
                <w:rFonts w:ascii="JetBrains Mono" w:hAnsi="JetBrains Mono" w:cs="JetBrains Mono" w:eastAsia="JetBrains Mono"/>
                <w:b w:val="0"/>
                <w:i w:val="0"/>
                <w:sz w:val="18"/>
              </w:rPr>
              <w:t>42</w:t>
            </w:r>
          </w:p>
        </w:tc>
        <w:tc>
          <w:tcPr>
            <w:tcW w:type="dxa" w:w="1417"/>
          </w:tcPr>
          <w:p>
            <w:pPr>
              <w:spacing w:before="40" w:after="40"/>
              <w:jc w:val="center"/>
            </w:pPr>
            <w:r/>
            <w:r>
              <w:rPr>
                <w:rFonts w:ascii="JetBrains Mono" w:hAnsi="JetBrains Mono" w:cs="JetBrains Mono" w:eastAsia="JetBrains Mono"/>
                <w:b w:val="0"/>
                <w:i w:val="0"/>
                <w:sz w:val="18"/>
              </w:rPr>
              <w:t>7.0%</w:t>
            </w:r>
          </w:p>
        </w:tc>
        <w:tc>
          <w:tcPr>
            <w:tcW w:type="dxa" w:w="1417"/>
          </w:tcPr>
          <w:p>
            <w:pPr>
              <w:spacing w:before="40" w:after="40"/>
              <w:jc w:val="center"/>
            </w:pPr>
            <w:r/>
            <w:r>
              <w:rPr>
                <w:rFonts w:ascii="JetBrains Mono" w:hAnsi="JetBrains Mono" w:cs="JetBrains Mono" w:eastAsia="JetBrains Mono"/>
                <w:b w:val="0"/>
                <w:i w:val="0"/>
                <w:sz w:val="18"/>
              </w:rPr>
              <w:t>0.24×</w:t>
            </w:r>
          </w:p>
        </w:tc>
      </w:tr>
      <w:tr>
        <w:tc>
          <w:tcPr>
            <w:tcW w:type="dxa" w:w="1417"/>
          </w:tcPr>
          <w:p>
            <w:pPr>
              <w:spacing w:before="40" w:after="40"/>
              <w:jc w:val="left"/>
            </w:pPr>
            <w:r/>
            <w:r>
              <w:rPr>
                <w:rFonts w:ascii="JetBrains Mono" w:hAnsi="JetBrains Mono" w:cs="JetBrains Mono" w:eastAsia="JetBrains Mono"/>
                <w:b w:val="0"/>
                <w:i w:val="0"/>
                <w:sz w:val="18"/>
              </w:rPr>
              <w:t>Band B</w:t>
            </w:r>
          </w:p>
        </w:tc>
        <w:tc>
          <w:tcPr>
            <w:tcW w:type="dxa" w:w="1417"/>
          </w:tcPr>
          <w:p>
            <w:pPr>
              <w:spacing w:before="40" w:after="40"/>
              <w:jc w:val="center"/>
            </w:pPr>
            <w:r/>
            <w:r>
              <w:rPr>
                <w:rFonts w:ascii="JetBrains Mono" w:hAnsi="JetBrains Mono" w:cs="JetBrains Mono" w:eastAsia="JetBrains Mono"/>
                <w:b w:val="0"/>
                <w:i w:val="0"/>
                <w:sz w:val="18"/>
              </w:rPr>
              <w:t>2,372</w:t>
            </w:r>
          </w:p>
        </w:tc>
        <w:tc>
          <w:tcPr>
            <w:tcW w:type="dxa" w:w="1417"/>
          </w:tcPr>
          <w:p>
            <w:pPr>
              <w:spacing w:before="40" w:after="40"/>
              <w:jc w:val="center"/>
            </w:pPr>
            <w:r/>
            <w:r>
              <w:rPr>
                <w:rFonts w:ascii="JetBrains Mono" w:hAnsi="JetBrains Mono" w:cs="JetBrains Mono" w:eastAsia="JetBrains Mono"/>
                <w:b w:val="0"/>
                <w:i w:val="0"/>
                <w:sz w:val="18"/>
              </w:rPr>
              <w:t>119</w:t>
            </w:r>
          </w:p>
        </w:tc>
        <w:tc>
          <w:tcPr>
            <w:tcW w:type="dxa" w:w="1417"/>
          </w:tcPr>
          <w:p>
            <w:pPr>
              <w:spacing w:before="40" w:after="40"/>
              <w:jc w:val="center"/>
            </w:pPr>
            <w:r/>
            <w:r>
              <w:rPr>
                <w:rFonts w:ascii="JetBrains Mono" w:hAnsi="JetBrains Mono" w:cs="JetBrains Mono" w:eastAsia="JetBrains Mono"/>
                <w:b w:val="0"/>
                <w:i w:val="0"/>
                <w:sz w:val="18"/>
              </w:rPr>
              <w:t>19.7%</w:t>
            </w:r>
          </w:p>
        </w:tc>
        <w:tc>
          <w:tcPr>
            <w:tcW w:type="dxa" w:w="1417"/>
          </w:tcPr>
          <w:p>
            <w:pPr>
              <w:spacing w:before="40" w:after="40"/>
              <w:jc w:val="center"/>
            </w:pPr>
            <w:r/>
            <w:r>
              <w:rPr>
                <w:rFonts w:ascii="JetBrains Mono" w:hAnsi="JetBrains Mono" w:cs="JetBrains Mono" w:eastAsia="JetBrains Mono"/>
                <w:b w:val="0"/>
                <w:i w:val="0"/>
                <w:sz w:val="18"/>
              </w:rPr>
              <w:t>0.62×</w:t>
            </w:r>
          </w:p>
        </w:tc>
      </w:tr>
      <w:tr>
        <w:tc>
          <w:tcPr>
            <w:tcW w:type="dxa" w:w="1417"/>
          </w:tcPr>
          <w:p>
            <w:pPr>
              <w:spacing w:before="40" w:after="40"/>
              <w:jc w:val="left"/>
            </w:pPr>
            <w:r/>
            <w:r>
              <w:rPr>
                <w:rFonts w:ascii="JetBrains Mono" w:hAnsi="JetBrains Mono" w:cs="JetBrains Mono" w:eastAsia="JetBrains Mono"/>
                <w:b w:val="0"/>
                <w:i w:val="0"/>
                <w:sz w:val="18"/>
              </w:rPr>
              <w:t>Band C</w:t>
            </w:r>
          </w:p>
        </w:tc>
        <w:tc>
          <w:tcPr>
            <w:tcW w:type="dxa" w:w="1417"/>
          </w:tcPr>
          <w:p>
            <w:pPr>
              <w:spacing w:before="40" w:after="40"/>
              <w:jc w:val="center"/>
            </w:pPr>
            <w:r/>
            <w:r>
              <w:rPr>
                <w:rFonts w:ascii="JetBrains Mono" w:hAnsi="JetBrains Mono" w:cs="JetBrains Mono" w:eastAsia="JetBrains Mono"/>
                <w:b w:val="0"/>
                <w:i w:val="0"/>
                <w:sz w:val="18"/>
              </w:rPr>
              <w:t>1,241</w:t>
            </w:r>
          </w:p>
        </w:tc>
        <w:tc>
          <w:tcPr>
            <w:tcW w:type="dxa" w:w="1417"/>
          </w:tcPr>
          <w:p>
            <w:pPr>
              <w:spacing w:before="40" w:after="40"/>
              <w:jc w:val="center"/>
            </w:pPr>
            <w:r/>
            <w:r>
              <w:rPr>
                <w:rFonts w:ascii="JetBrains Mono" w:hAnsi="JetBrains Mono" w:cs="JetBrains Mono" w:eastAsia="JetBrains Mono"/>
                <w:b w:val="0"/>
                <w:i w:val="0"/>
                <w:sz w:val="18"/>
              </w:rPr>
              <w:t>108</w:t>
            </w:r>
          </w:p>
        </w:tc>
        <w:tc>
          <w:tcPr>
            <w:tcW w:type="dxa" w:w="1417"/>
          </w:tcPr>
          <w:p>
            <w:pPr>
              <w:spacing w:before="40" w:after="40"/>
              <w:jc w:val="center"/>
            </w:pPr>
            <w:r/>
            <w:r>
              <w:rPr>
                <w:rFonts w:ascii="JetBrains Mono" w:hAnsi="JetBrains Mono" w:cs="JetBrains Mono" w:eastAsia="JetBrains Mono"/>
                <w:b w:val="0"/>
                <w:i w:val="0"/>
                <w:sz w:val="18"/>
              </w:rPr>
              <w:t>17.9%</w:t>
            </w:r>
          </w:p>
        </w:tc>
        <w:tc>
          <w:tcPr>
            <w:tcW w:type="dxa" w:w="1417"/>
          </w:tcPr>
          <w:p>
            <w:pPr>
              <w:spacing w:before="40" w:after="40"/>
              <w:jc w:val="center"/>
            </w:pPr>
            <w:r/>
            <w:r>
              <w:rPr>
                <w:rFonts w:ascii="JetBrains Mono" w:hAnsi="JetBrains Mono" w:cs="JetBrains Mono" w:eastAsia="JetBrains Mono"/>
                <w:b w:val="0"/>
                <w:i w:val="0"/>
                <w:sz w:val="18"/>
              </w:rPr>
              <w:t>1.08×</w:t>
            </w:r>
          </w:p>
        </w:tc>
      </w:tr>
      <w:tr>
        <w:tc>
          <w:tcPr>
            <w:tcW w:type="dxa" w:w="1417"/>
          </w:tcPr>
          <w:p>
            <w:pPr>
              <w:spacing w:before="40" w:after="40"/>
              <w:jc w:val="left"/>
            </w:pPr>
            <w:r/>
            <w:r>
              <w:rPr>
                <w:rFonts w:ascii="JetBrains Mono" w:hAnsi="JetBrains Mono" w:cs="JetBrains Mono" w:eastAsia="JetBrains Mono"/>
                <w:b w:val="0"/>
                <w:i w:val="0"/>
                <w:sz w:val="18"/>
              </w:rPr>
              <w:t>Band D</w:t>
            </w:r>
          </w:p>
        </w:tc>
        <w:tc>
          <w:tcPr>
            <w:tcW w:type="dxa" w:w="1417"/>
          </w:tcPr>
          <w:p>
            <w:pPr>
              <w:spacing w:before="40" w:after="40"/>
              <w:jc w:val="center"/>
            </w:pPr>
            <w:r/>
            <w:r>
              <w:rPr>
                <w:rFonts w:ascii="JetBrains Mono" w:hAnsi="JetBrains Mono" w:cs="JetBrains Mono" w:eastAsia="JetBrains Mono"/>
                <w:b w:val="0"/>
                <w:i w:val="0"/>
                <w:sz w:val="18"/>
              </w:rPr>
              <w:t>1,166</w:t>
            </w:r>
          </w:p>
        </w:tc>
        <w:tc>
          <w:tcPr>
            <w:tcW w:type="dxa" w:w="1417"/>
          </w:tcPr>
          <w:p>
            <w:pPr>
              <w:spacing w:before="40" w:after="40"/>
              <w:jc w:val="center"/>
            </w:pPr>
            <w:r/>
            <w:r>
              <w:rPr>
                <w:rFonts w:ascii="JetBrains Mono" w:hAnsi="JetBrains Mono" w:cs="JetBrains Mono" w:eastAsia="JetBrains Mono"/>
                <w:b w:val="0"/>
                <w:i w:val="0"/>
                <w:sz w:val="18"/>
              </w:rPr>
              <w:t>173</w:t>
            </w:r>
          </w:p>
        </w:tc>
        <w:tc>
          <w:tcPr>
            <w:tcW w:type="dxa" w:w="1417"/>
          </w:tcPr>
          <w:p>
            <w:pPr>
              <w:spacing w:before="40" w:after="40"/>
              <w:jc w:val="center"/>
            </w:pPr>
            <w:r/>
            <w:r>
              <w:rPr>
                <w:rFonts w:ascii="JetBrains Mono" w:hAnsi="JetBrains Mono" w:cs="JetBrains Mono" w:eastAsia="JetBrains Mono"/>
                <w:b w:val="0"/>
                <w:i w:val="0"/>
                <w:sz w:val="18"/>
              </w:rPr>
              <w:t>28.7%</w:t>
            </w:r>
          </w:p>
        </w:tc>
        <w:tc>
          <w:tcPr>
            <w:tcW w:type="dxa" w:w="1417"/>
          </w:tcPr>
          <w:p>
            <w:pPr>
              <w:spacing w:before="40" w:after="40"/>
              <w:jc w:val="center"/>
            </w:pPr>
            <w:r/>
            <w:r>
              <w:rPr>
                <w:rFonts w:ascii="JetBrains Mono" w:hAnsi="JetBrains Mono" w:cs="JetBrains Mono" w:eastAsia="JetBrains Mono"/>
                <w:b w:val="0"/>
                <w:i w:val="0"/>
                <w:sz w:val="18"/>
              </w:rPr>
              <w:t>1.85×</w:t>
            </w:r>
          </w:p>
        </w:tc>
      </w:tr>
      <w:tr>
        <w:tc>
          <w:tcPr>
            <w:tcW w:type="dxa" w:w="1417"/>
          </w:tcPr>
          <w:p>
            <w:pPr>
              <w:spacing w:before="40" w:after="40"/>
              <w:jc w:val="left"/>
            </w:pPr>
            <w:r/>
            <w:r>
              <w:rPr>
                <w:rFonts w:ascii="JetBrains Mono" w:hAnsi="JetBrains Mono" w:cs="JetBrains Mono" w:eastAsia="JetBrains Mono"/>
                <w:b w:val="0"/>
                <w:i w:val="0"/>
                <w:sz w:val="18"/>
              </w:rPr>
              <w:t>Band E</w:t>
            </w:r>
          </w:p>
        </w:tc>
        <w:tc>
          <w:tcPr>
            <w:tcW w:type="dxa" w:w="1417"/>
          </w:tcPr>
          <w:p>
            <w:pPr>
              <w:spacing w:before="40" w:after="40"/>
              <w:jc w:val="center"/>
            </w:pPr>
            <w:r/>
            <w:r>
              <w:rPr>
                <w:rFonts w:ascii="JetBrains Mono" w:hAnsi="JetBrains Mono" w:cs="JetBrains Mono" w:eastAsia="JetBrains Mono"/>
                <w:b w:val="0"/>
                <w:i w:val="0"/>
                <w:sz w:val="18"/>
              </w:rPr>
              <w:t>536</w:t>
            </w:r>
          </w:p>
        </w:tc>
        <w:tc>
          <w:tcPr>
            <w:tcW w:type="dxa" w:w="1417"/>
          </w:tcPr>
          <w:p>
            <w:pPr>
              <w:spacing w:before="40" w:after="40"/>
              <w:jc w:val="center"/>
            </w:pPr>
            <w:r/>
            <w:r>
              <w:rPr>
                <w:rFonts w:ascii="JetBrains Mono" w:hAnsi="JetBrains Mono" w:cs="JetBrains Mono" w:eastAsia="JetBrains Mono"/>
                <w:b w:val="0"/>
                <w:i w:val="0"/>
                <w:sz w:val="18"/>
              </w:rPr>
              <w:t>161</w:t>
            </w:r>
          </w:p>
        </w:tc>
        <w:tc>
          <w:tcPr>
            <w:tcW w:type="dxa" w:w="1417"/>
          </w:tcPr>
          <w:p>
            <w:pPr>
              <w:spacing w:before="40" w:after="40"/>
              <w:jc w:val="center"/>
            </w:pPr>
            <w:r/>
            <w:r>
              <w:rPr>
                <w:rFonts w:ascii="JetBrains Mono" w:hAnsi="JetBrains Mono" w:cs="JetBrains Mono" w:eastAsia="JetBrains Mono"/>
                <w:b w:val="0"/>
                <w:i w:val="0"/>
                <w:sz w:val="18"/>
              </w:rPr>
              <w:t>26.7%</w:t>
            </w:r>
          </w:p>
        </w:tc>
        <w:tc>
          <w:tcPr>
            <w:tcW w:type="dxa" w:w="1417"/>
          </w:tcPr>
          <w:p>
            <w:pPr>
              <w:spacing w:before="40" w:after="40"/>
              <w:jc w:val="center"/>
            </w:pPr>
            <w:r/>
            <w:r>
              <w:rPr>
                <w:rFonts w:ascii="JetBrains Mono" w:hAnsi="JetBrains Mono" w:cs="JetBrains Mono" w:eastAsia="JetBrains Mono"/>
                <w:b w:val="0"/>
                <w:i w:val="0"/>
                <w:sz w:val="18"/>
              </w:rPr>
              <w:t>3.74×</w:t>
            </w:r>
          </w:p>
        </w:tc>
      </w:tr>
    </w:tbl>
    <w:p>
      <w:pPr>
        <w:spacing w:before="0" w:after="200"/>
        <w:jc w:val="center"/>
      </w:pPr>
      <w:r>
        <w:rPr>
          <w:rFonts w:ascii="Times New Roman" w:hAnsi="Times New Roman" w:cs="Times New Roman" w:eastAsia="Times New Roman"/>
          <w:b w:val="0"/>
          <w:i/>
          <w:color w:val="666666"/>
          <w:sz w:val="18"/>
        </w:rPr>
        <w:t>Table 6.  Capture rate and lift over base rate by risk band.</w:t>
      </w:r>
    </w:p>
    <w:p>
      <w:pPr>
        <w:spacing w:before="280" w:after="120"/>
      </w:pPr>
      <w:r>
        <w:rPr>
          <w:rFonts w:ascii="JetBrains Mono" w:hAnsi="JetBrains Mono" w:cs="JetBrains Mono" w:eastAsia="JetBrains Mono"/>
          <w:b/>
          <w:i w:val="0"/>
          <w:color w:val="0F0F0F"/>
          <w:sz w:val="28"/>
        </w:rPr>
        <w:t>4.6.  Comparison with Published Benchmarks</w:t>
      </w:r>
    </w:p>
    <w:p>
      <w:pPr>
        <w:spacing w:before="0" w:after="120" w:line="336" w:lineRule="auto"/>
        <w:ind w:firstLine="283"/>
      </w:pPr>
      <w:r>
        <w:rPr>
          <w:rFonts w:ascii="Times New Roman" w:hAnsi="Times New Roman" w:cs="Times New Roman" w:eastAsia="Times New Roman"/>
          <w:b w:val="0"/>
          <w:i w:val="0"/>
          <w:sz w:val="24"/>
        </w:rPr>
        <w:t>Public Kaggle leaderboards for this dataset reach AUC ≈ 0.81 with extensive blending.  Our single-model LightGBM AUC of 0.759 on a 12 750-row subsample is consistent with the single-model, single-fold benchmarks reported by Hand &amp; Henley (1997) for consumer credit portfolios (typical AUC 0.75–0.80).  Running on the full 307k rows is expected to lift the headline numbers by 0.02–0.04 AUC points.</w:t>
      </w:r>
    </w:p>
    <w:p>
      <w:pPr>
        <w:spacing w:before="280" w:after="120"/>
      </w:pPr>
      <w:r>
        <w:rPr>
          <w:rFonts w:ascii="JetBrains Mono" w:hAnsi="JetBrains Mono" w:cs="JetBrains Mono" w:eastAsia="JetBrains Mono"/>
          <w:b/>
          <w:i w:val="0"/>
          <w:color w:val="0F0F0F"/>
          <w:sz w:val="28"/>
        </w:rPr>
        <w:t>4.7.  Deployment Surface</w:t>
      </w:r>
    </w:p>
    <w:p>
      <w:pPr>
        <w:spacing w:before="0" w:after="120" w:line="336" w:lineRule="auto"/>
        <w:ind w:firstLine="283"/>
      </w:pPr>
      <w:r>
        <w:rPr>
          <w:rFonts w:ascii="Times New Roman" w:hAnsi="Times New Roman" w:cs="Times New Roman" w:eastAsia="Times New Roman"/>
          <w:b w:val="0"/>
          <w:i w:val="0"/>
          <w:sz w:val="24"/>
        </w:rPr>
        <w:t>A Streamlit web app exposes the model in four tabs: Overview, EDA, Predict, and Performance.  The Predict tab accepts a customer feature vector and returns the PD, score, and risk band in real time.  A Dockerfile and a pinned requirements.txt make the entire stack portable; docker-compose brings the Streamlit container up in one command.</w:t>
      </w:r>
    </w:p>
    <w:p>
      <w:r>
        <w:br w:type="page"/>
      </w:r>
    </w:p>
    <w:p>
      <w:pPr>
        <w:pageBreakBefore w:val="0"/>
        <w:spacing w:before="240" w:after="360"/>
        <w:jc w:val="center"/>
      </w:pPr>
      <w:r>
        <w:rPr>
          <w:rFonts w:ascii="JetBrains Mono" w:hAnsi="JetBrains Mono" w:cs="JetBrains Mono" w:eastAsia="JetBrains Mono"/>
          <w:b/>
          <w:i w:val="0"/>
          <w:color w:val="ED1C24"/>
          <w:sz w:val="40"/>
        </w:rPr>
        <w:t>CHAPTER 5:  CONCLUSION AND FUTURE WORK</w:t>
      </w:r>
    </w:p>
    <w:p>
      <w:pPr>
        <w:spacing w:before="280" w:after="120"/>
      </w:pPr>
      <w:r>
        <w:rPr>
          <w:rFonts w:ascii="JetBrains Mono" w:hAnsi="JetBrains Mono" w:cs="JetBrains Mono" w:eastAsia="JetBrains Mono"/>
          <w:b/>
          <w:i w:val="0"/>
          <w:color w:val="0F0F0F"/>
          <w:sz w:val="28"/>
        </w:rPr>
        <w:t>5.1.  Conclusion</w:t>
      </w:r>
    </w:p>
    <w:p>
      <w:pPr>
        <w:spacing w:before="0" w:after="120" w:line="336" w:lineRule="auto"/>
        <w:ind w:firstLine="283"/>
      </w:pPr>
      <w:r>
        <w:rPr>
          <w:rFonts w:ascii="Times New Roman" w:hAnsi="Times New Roman" w:cs="Times New Roman" w:eastAsia="Times New Roman"/>
          <w:b w:val="0"/>
          <w:i w:val="0"/>
          <w:sz w:val="24"/>
        </w:rPr>
        <w:t>We presented an end-to-end credit-risk modeling pipeline that transforms seven raw tables into a deployable PD model with scorecard and risk bands.  The selected LightGBM + isotonic-calibration model achieves competitive performance on a 7 500-row held-out test set (AUC = 0.758, KS = 0.375, recall = 86.2% at τ = 0.05) and is delivered through a reproducible notebook, a Streamlit web app, and a Docker image.  The pipeline is a solid foundation for further enhancements: full-data training, drift monitoring, and rejected-inference are the most impactful next steps.</w:t>
      </w:r>
    </w:p>
    <w:p>
      <w:pPr>
        <w:spacing w:before="280" w:after="120"/>
      </w:pPr>
      <w:r>
        <w:rPr>
          <w:rFonts w:ascii="JetBrains Mono" w:hAnsi="JetBrains Mono" w:cs="JetBrains Mono" w:eastAsia="JetBrains Mono"/>
          <w:b/>
          <w:i w:val="0"/>
          <w:color w:val="0F0F0F"/>
          <w:sz w:val="28"/>
        </w:rPr>
        <w:t>5.2.  Future Work</w:t>
      </w:r>
    </w:p>
    <w:p>
      <w:pPr>
        <w:spacing w:before="0" w:after="120" w:line="336" w:lineRule="auto"/>
        <w:ind w:firstLine="283"/>
      </w:pPr>
      <w:r>
        <w:rPr>
          <w:rFonts w:ascii="Times New Roman" w:hAnsi="Times New Roman" w:cs="Times New Roman" w:eastAsia="Times New Roman"/>
          <w:b w:val="0"/>
          <w:i w:val="0"/>
          <w:sz w:val="24"/>
        </w:rPr>
        <w:t>The current pipeline has the following limitations, all of which are addressable:</w:t>
      </w:r>
    </w:p>
    <w:p>
      <w:pPr>
        <w:pStyle w:val="ListBullet"/>
        <w:spacing w:after="60" w:line="312" w:lineRule="auto"/>
        <w:ind w:left="567" w:hanging="283"/>
      </w:pPr>
      <w:r>
        <w:rPr>
          <w:rFonts w:ascii="Times New Roman" w:hAnsi="Times New Roman" w:cs="Times New Roman" w:eastAsia="Times New Roman"/>
          <w:b w:val="0"/>
          <w:i w:val="0"/>
          <w:sz w:val="24"/>
        </w:rPr>
        <w:t>&lt;b&gt;Sample size&lt;/b&gt; — only 12 750 rows were used in this run to fit local compute constraints; re-training on the full 307k rows is expected to lift AUC by 2–4 points.</w:t>
      </w:r>
    </w:p>
    <w:p>
      <w:pPr>
        <w:pStyle w:val="ListBullet"/>
        <w:spacing w:after="60" w:line="312" w:lineRule="auto"/>
        <w:ind w:left="567" w:hanging="283"/>
      </w:pPr>
      <w:r>
        <w:rPr>
          <w:rFonts w:ascii="Times New Roman" w:hAnsi="Times New Roman" w:cs="Times New Roman" w:eastAsia="Times New Roman"/>
          <w:b w:val="0"/>
          <w:i w:val="0"/>
          <w:sz w:val="24"/>
        </w:rPr>
        <w:t>&lt;b&gt;Threshold / policy coupling&lt;/b&gt; — τ = 0.05 prioritises recall; a higher τ would reduce manual-review volume at the cost of missed defaulters.  The chosen τ should be validated against business-specific loss ratios.</w:t>
      </w:r>
    </w:p>
    <w:p>
      <w:pPr>
        <w:pStyle w:val="ListBullet"/>
        <w:spacing w:after="60" w:line="312" w:lineRule="auto"/>
        <w:ind w:left="567" w:hanging="283"/>
      </w:pPr>
      <w:r>
        <w:rPr>
          <w:rFonts w:ascii="Times New Roman" w:hAnsi="Times New Roman" w:cs="Times New Roman" w:eastAsia="Times New Roman"/>
          <w:b w:val="0"/>
          <w:i w:val="0"/>
          <w:sz w:val="24"/>
        </w:rPr>
        <w:t>&lt;b&gt;Drift monitoring&lt;/b&gt; — Home Credit's portfolio evolves yearly.  Production deployment should include PSI / KS drift tracking on EXT_SOURCE_*, AMT_*, and the core demographic features.</w:t>
      </w:r>
    </w:p>
    <w:p>
      <w:pPr>
        <w:pStyle w:val="ListBullet"/>
        <w:spacing w:after="60" w:line="312" w:lineRule="auto"/>
        <w:ind w:left="567" w:hanging="283"/>
      </w:pPr>
      <w:r>
        <w:rPr>
          <w:rFonts w:ascii="Times New Roman" w:hAnsi="Times New Roman" w:cs="Times New Roman" w:eastAsia="Times New Roman"/>
          <w:b w:val="0"/>
          <w:i w:val="0"/>
          <w:sz w:val="24"/>
        </w:rPr>
        <w:t>&lt;b&gt;Fairness audit&lt;/b&gt; — disaggregated metrics by CODE_GENDER, AGE_BAND and REGION_RATING_CLIENT are required before production rollout to satisfy credit-regulation requirements (e.g. ECOA, GDPR).</w:t>
      </w:r>
    </w:p>
    <w:p>
      <w:pPr>
        <w:pStyle w:val="ListBullet"/>
        <w:spacing w:after="60" w:line="312" w:lineRule="auto"/>
        <w:ind w:left="567" w:hanging="283"/>
      </w:pPr>
      <w:r>
        <w:rPr>
          <w:rFonts w:ascii="Times New Roman" w:hAnsi="Times New Roman" w:cs="Times New Roman" w:eastAsia="Times New Roman"/>
          <w:b w:val="0"/>
          <w:i w:val="0"/>
          <w:sz w:val="24"/>
        </w:rPr>
        <w:t>&lt;b&gt;Rejected-inference&lt;/b&gt; — training data only includes approved loans; closing the selection-bias gap with reject-inference techniques would improve the model in the low-PD tail.</w:t>
      </w:r>
    </w:p>
    <w:p>
      <w:pPr>
        <w:pStyle w:val="ListBullet"/>
        <w:spacing w:after="60" w:line="312" w:lineRule="auto"/>
        <w:ind w:left="567" w:hanging="283"/>
      </w:pPr>
      <w:r>
        <w:rPr>
          <w:rFonts w:ascii="Times New Roman" w:hAnsi="Times New Roman" w:cs="Times New Roman" w:eastAsia="Times New Roman"/>
          <w:b w:val="0"/>
          <w:i w:val="0"/>
          <w:sz w:val="24"/>
        </w:rPr>
        <w:t>&lt;b&gt;Deep tabular models&lt;/b&gt; — TabNet and FT-Transformer are promising next steps, as are time-series aggregations of installment history.</w:t>
      </w:r>
    </w:p>
    <w:p>
      <w:r>
        <w:br w:type="page"/>
      </w:r>
    </w:p>
    <w:p>
      <w:pPr>
        <w:pageBreakBefore w:val="0"/>
        <w:spacing w:before="240" w:after="360"/>
        <w:jc w:val="center"/>
      </w:pPr>
      <w:r>
        <w:rPr>
          <w:rFonts w:ascii="JetBrains Mono" w:hAnsi="JetBrains Mono" w:cs="JetBrains Mono" w:eastAsia="JetBrains Mono"/>
          <w:b/>
          <w:i w:val="0"/>
          <w:color w:val="ED1C24"/>
          <w:sz w:val="40"/>
        </w:rPr>
        <w:t>REFERENCES</w:t>
      </w:r>
    </w:p>
    <w:p>
      <w:pPr>
        <w:spacing w:after="120" w:line="312" w:lineRule="auto"/>
        <w:ind w:left="567" w:hanging="567"/>
      </w:pPr>
      <w:r>
        <w:rPr>
          <w:rFonts w:ascii="Times New Roman" w:hAnsi="Times New Roman" w:cs="Times New Roman" w:eastAsia="Times New Roman"/>
          <w:b w:val="0"/>
          <w:i w:val="0"/>
          <w:sz w:val="20"/>
        </w:rPr>
        <w:t>Hand, D. J., &amp; Henley, W. E. (1997).  Statistical classification methods in consumer credit scoring: a review.  Journal of the Royal Statistical Society, Series A, 160(3), 523–541.</w:t>
      </w:r>
    </w:p>
    <w:p>
      <w:pPr>
        <w:spacing w:after="120" w:line="312" w:lineRule="auto"/>
        <w:ind w:left="567" w:hanging="567"/>
      </w:pPr>
      <w:r>
        <w:rPr>
          <w:rFonts w:ascii="Times New Roman" w:hAnsi="Times New Roman" w:cs="Times New Roman" w:eastAsia="Times New Roman"/>
          <w:b w:val="0"/>
          <w:i w:val="0"/>
          <w:sz w:val="20"/>
        </w:rPr>
        <w:t>Ke, G., Meng, Q., Finley, T., Wang, T., Chen, W., Ma, W., Ye, Q., &amp; Liu, T.-Y. (2017).  LightGBM: A Highly Efficient Gradient Boosting Decision Tree.  Advances in Neural Information Processing Systems, 30, 3146–3154.</w:t>
      </w:r>
    </w:p>
    <w:p>
      <w:pPr>
        <w:spacing w:after="120" w:line="312" w:lineRule="auto"/>
        <w:ind w:left="567" w:hanging="567"/>
      </w:pPr>
      <w:r>
        <w:rPr>
          <w:rFonts w:ascii="Times New Roman" w:hAnsi="Times New Roman" w:cs="Times New Roman" w:eastAsia="Times New Roman"/>
          <w:b w:val="0"/>
          <w:i w:val="0"/>
          <w:sz w:val="20"/>
        </w:rPr>
        <w:t>Kaggle (2018).  Home Credit Default Risk competition.  https://www.kaggle.com/c/home-credit-default-risk</w:t>
      </w:r>
    </w:p>
    <w:p>
      <w:pPr>
        <w:spacing w:after="120" w:line="312" w:lineRule="auto"/>
        <w:ind w:left="567" w:hanging="567"/>
      </w:pPr>
      <w:r>
        <w:rPr>
          <w:rFonts w:ascii="Times New Roman" w:hAnsi="Times New Roman" w:cs="Times New Roman" w:eastAsia="Times New Roman"/>
          <w:b w:val="0"/>
          <w:i w:val="0"/>
          <w:sz w:val="20"/>
        </w:rPr>
        <w:t>Optuna: A Next-generation Hyperparameter Optimization Framework (Akiba et al., 2019).  Proceedings of the 25th ACM SIGKDD, 2623–2631.</w:t>
      </w:r>
    </w:p>
    <w:p>
      <w:pPr>
        <w:spacing w:after="120" w:line="312" w:lineRule="auto"/>
        <w:ind w:left="567" w:hanging="567"/>
      </w:pPr>
      <w:r>
        <w:rPr>
          <w:rFonts w:ascii="Times New Roman" w:hAnsi="Times New Roman" w:cs="Times New Roman" w:eastAsia="Times New Roman"/>
          <w:b w:val="0"/>
          <w:i w:val="0"/>
          <w:sz w:val="20"/>
        </w:rPr>
        <w:t>Pedregosa, F., et al. (2011).  Scikit-learn: Machine Learning in Python.  Journal of Machine Learning Research, 12, 2825–2830.</w:t>
      </w:r>
    </w:p>
    <w:p>
      <w:pPr>
        <w:spacing w:after="120" w:line="312" w:lineRule="auto"/>
        <w:ind w:left="567" w:hanging="567"/>
      </w:pPr>
      <w:r>
        <w:rPr>
          <w:rFonts w:ascii="Times New Roman" w:hAnsi="Times New Roman" w:cs="Times New Roman" w:eastAsia="Times New Roman"/>
          <w:b w:val="0"/>
          <w:i w:val="0"/>
          <w:sz w:val="20"/>
        </w:rPr>
        <w:t>Platt, J. C. (1999).  Probabilistic outputs for support vector machines and comparisons to regularized likelihood methods.  Advances in Large Margin Classifiers, 10(3), 61–74.</w:t>
      </w:r>
    </w:p>
    <w:p>
      <w:pPr>
        <w:spacing w:after="120" w:line="312" w:lineRule="auto"/>
        <w:ind w:left="567" w:hanging="567"/>
      </w:pPr>
      <w:r>
        <w:rPr>
          <w:rFonts w:ascii="Times New Roman" w:hAnsi="Times New Roman" w:cs="Times New Roman" w:eastAsia="Times New Roman"/>
          <w:b w:val="0"/>
          <w:i w:val="0"/>
          <w:sz w:val="20"/>
        </w:rPr>
        <w:t>Siddiqui, S. (2013).  Credit Risk Scorecards: Developing and Implementing Intelligent Credit Scoring.  Wiley.</w:t>
      </w:r>
    </w:p>
    <w:p>
      <w:pPr>
        <w:spacing w:after="120" w:line="312" w:lineRule="auto"/>
        <w:ind w:left="567" w:hanging="567"/>
      </w:pPr>
      <w:r>
        <w:rPr>
          <w:rFonts w:ascii="Times New Roman" w:hAnsi="Times New Roman" w:cs="Times New Roman" w:eastAsia="Times New Roman"/>
          <w:b w:val="0"/>
          <w:i w:val="0"/>
          <w:sz w:val="20"/>
        </w:rPr>
        <w:t>Zadrozny, B., &amp; Elkan, C. (2002).  Transforming classifier scores into accurate multiclass probability estimates.  Proceedings of the 8th ACM SIGKDD, 694–699.</w:t>
      </w:r>
    </w:p>
    <w:sectPr w:rsidR="00FC693F" w:rsidRPr="0006063C" w:rsidSect="00034616">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