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VIETNAM NATIONAL UNIVERSITY, HO CHI MINH CITY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HO CHI MINH UNIVERSITY OF TECHNOLOGY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FACULTY OF COMPUTER SCIENCE &amp; ENGINEERING</w:t>
      </w:r>
    </w:p>
    <w:p/>
    <w:p>
      <w:pPr>
        <w:spacing w:before="80" w:after="200"/>
        <w:jc w:val="center"/>
      </w:pPr>
      <w:r>
        <w:rPr>
          <w:rFonts w:ascii="Times New Roman" w:hAnsi="Times New Roman"/>
          <w:b w:val="0"/>
          <w:i w:val="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20" w:after="160"/>
        <w:jc w:val="center"/>
      </w:pPr>
      <w:r>
        <w:rPr>
          <w:rFonts w:ascii="Times New Roman" w:hAnsi="Times New Roman"/>
          <w:b/>
          <w:i w:val="0"/>
          <w:sz w:val="32"/>
        </w:rPr>
        <w:t>D4 — MIDTERM CASE-STUDY REPORT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i w:val="0"/>
          <w:sz w:val="28"/>
        </w:rPr>
        <w:t>Credit Risk Scoring with LightGBM and</w:t>
        <w:br/>
        <w:t>Probability Calibration on Home Credit Data</w:t>
      </w:r>
    </w:p>
    <w:p/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SUPERVISOR</w:t>
        <w:br/>
      </w:r>
      <w:r>
        <w:rPr>
          <w:rFonts w:ascii="Times New Roman" w:hAnsi="Times New Roman"/>
          <w:b w:val="0"/>
          <w:i w:val="0"/>
          <w:sz w:val="24"/>
        </w:rPr>
        <w:t>TS. Nguyễn Minh Hùng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STUDENT</w:t>
        <w:br/>
      </w:r>
      <w:r>
        <w:rPr>
          <w:rFonts w:ascii="Times New Roman" w:hAnsi="Times New Roman"/>
          <w:b w:val="0"/>
          <w:i w:val="0"/>
          <w:sz w:val="24"/>
        </w:rPr>
        <w:t>Phạm Thanh Hà — MSSV: 21xxxxxx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PROGRAMME</w:t>
        <w:br/>
      </w:r>
      <w:r>
        <w:rPr>
          <w:rFonts w:ascii="Times New Roman" w:hAnsi="Times New Roman"/>
          <w:b w:val="0"/>
          <w:i w:val="0"/>
          <w:sz w:val="24"/>
        </w:rPr>
        <w:t>Applied Mathematics in Economics &amp; Finance</w:t>
      </w:r>
    </w:p>
    <w:p/>
    <w:p>
      <w:pPr>
        <w:spacing w:before="200" w:after="0"/>
        <w:jc w:val="center"/>
      </w:pPr>
      <w:r>
        <w:rPr>
          <w:rFonts w:ascii="Times New Roman" w:hAnsi="Times New Roman"/>
          <w:b w:val="0"/>
          <w:i/>
          <w:sz w:val="24"/>
        </w:rPr>
        <w:t>Ho Chi Minh City, October 2026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VIETNAM NATIONAL UNIVERSITY, HO CHI MINH CITY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HO CHI MINH UNIVERSITY OF TECHNOLOGY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FACULTY OF COMPUTER SCIENCE &amp; ENGINEERING</w:t>
      </w:r>
    </w:p>
    <w:p>
      <w:pPr>
        <w:spacing w:before="80" w:after="280"/>
        <w:jc w:val="center"/>
      </w:pPr>
      <w:r>
        <w:rPr>
          <w:rFonts w:ascii="Times New Roman" w:hAnsi="Times New Roman"/>
          <w:b w:val="0"/>
          <w:i w:val="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32"/>
        </w:rPr>
        <w:t>D4 — MIDTERM CASE-STUDY REPORT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i w:val="0"/>
          <w:sz w:val="28"/>
        </w:rPr>
        <w:t>Credit Risk Scoring with LightGBM and</w:t>
        <w:br/>
        <w:t>Probability Calibration on Home Credit Data</w:t>
      </w:r>
    </w:p>
    <w:p/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4"/>
        </w:rPr>
        <w:t>Topic:</w:t>
        <w:br/>
      </w:r>
      <w:r>
        <w:rPr>
          <w:rFonts w:ascii="Times New Roman" w:hAnsi="Times New Roman"/>
          <w:b w:val="0"/>
          <w:i w:val="0"/>
          <w:sz w:val="24"/>
        </w:rPr>
        <w:t>Credit Risk Scoring with LightGBM and Probability Calibration on Home Credit Data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4"/>
        </w:rPr>
        <w:t>Supervisor:</w:t>
        <w:br/>
      </w:r>
      <w:r>
        <w:rPr>
          <w:rFonts w:ascii="Times New Roman" w:hAnsi="Times New Roman"/>
          <w:b w:val="0"/>
          <w:i w:val="0"/>
          <w:sz w:val="24"/>
        </w:rPr>
        <w:t>TS. Nguyễn Minh Hùng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4"/>
        </w:rPr>
        <w:t>Student:</w:t>
        <w:br/>
      </w:r>
      <w:r>
        <w:rPr>
          <w:rFonts w:ascii="Times New Roman" w:hAnsi="Times New Roman"/>
          <w:b w:val="0"/>
          <w:i w:val="0"/>
          <w:sz w:val="24"/>
        </w:rPr>
        <w:t>Phạm Thanh Hà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4"/>
        </w:rPr>
        <w:t>Programme:</w:t>
        <w:br/>
      </w:r>
      <w:r>
        <w:rPr>
          <w:rFonts w:ascii="Times New Roman" w:hAnsi="Times New Roman"/>
          <w:b w:val="0"/>
          <w:i w:val="0"/>
          <w:sz w:val="24"/>
        </w:rPr>
        <w:t>Applied Mathematics in Economics &amp; Finance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4"/>
        </w:rPr>
        <w:t>Date:</w:t>
        <w:br/>
      </w:r>
      <w:r>
        <w:rPr>
          <w:rFonts w:ascii="Times New Roman" w:hAnsi="Times New Roman"/>
          <w:b w:val="0"/>
          <w:i w:val="0"/>
          <w:sz w:val="24"/>
        </w:rPr>
        <w:t>October 2026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26"/>
        </w:rPr>
        <w:t>ACKNOWLEDGEMENTS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I wish to express my gratitude to my instructors in the Applied Mathematics in Economics &amp; Finance programme at HCMUT, in particular to my supervisor TS. Nguyễn Minh Hùng, for guidance and feedback throughout this project, whose questions repeatedly made me defend decisions I had taken for granted. I am likewise indebted to the open-source community behind Python, scikit-learn, LightGBM, Optuna, Matplotlib and Streamlit; to Kaggle and Home Credit Group for making the dataset publicly available; and to my family and friends for their patience and encouragement. Any remaining errors are my own.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1 — QUESTION AND SCOPE  (≈ 15 %)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1.1  The five-slot research question (matches D3 memo)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We frame the study in five interlocking slots so the question can be answered in one sentence and re-used as a unit of analysis:</w:t>
      </w:r>
    </w:p>
    <w:p>
      <w:pPr>
        <w:spacing w:after="60"/>
        <w:ind w:left="432"/>
        <w:jc w:val="both"/>
      </w:pPr>
      <w:r>
        <w:rPr>
          <w:rFonts w:ascii="Times New Roman" w:hAnsi="Times New Roman"/>
          <w:b/>
          <w:i w:val="0"/>
          <w:sz w:val="24"/>
        </w:rPr>
        <w:t xml:space="preserve">Unit  :  </w:t>
      </w:r>
      <w:r>
        <w:rPr>
          <w:rFonts w:ascii="Times New Roman" w:hAnsi="Times New Roman"/>
          <w:b w:val="0"/>
          <w:i w:val="0"/>
          <w:sz w:val="24"/>
        </w:rPr>
        <w:t>an individual loan applicant at application time.</w:t>
      </w:r>
    </w:p>
    <w:p>
      <w:pPr>
        <w:spacing w:after="60"/>
        <w:ind w:left="432"/>
        <w:jc w:val="both"/>
      </w:pPr>
      <w:r>
        <w:rPr>
          <w:rFonts w:ascii="Times New Roman" w:hAnsi="Times New Roman"/>
          <w:b/>
          <w:i w:val="0"/>
          <w:sz w:val="24"/>
        </w:rPr>
        <w:t xml:space="preserve">Action  :  </w:t>
      </w:r>
      <w:r>
        <w:rPr>
          <w:rFonts w:ascii="Times New Roman" w:hAnsi="Times New Roman"/>
          <w:b w:val="0"/>
          <w:i w:val="0"/>
          <w:sz w:val="24"/>
        </w:rPr>
        <w:t>rank / approve / refer for review, with a calibrated PD.</w:t>
      </w:r>
    </w:p>
    <w:p>
      <w:pPr>
        <w:spacing w:after="60"/>
        <w:ind w:left="432"/>
        <w:jc w:val="both"/>
      </w:pPr>
      <w:r>
        <w:rPr>
          <w:rFonts w:ascii="Times New Roman" w:hAnsi="Times New Roman"/>
          <w:b/>
          <w:i w:val="0"/>
          <w:sz w:val="24"/>
        </w:rPr>
        <w:t xml:space="preserve">Outcome  :  </w:t>
      </w:r>
      <w:r>
        <w:rPr>
          <w:rFonts w:ascii="Times New Roman" w:hAnsi="Times New Roman"/>
          <w:b w:val="0"/>
          <w:i w:val="0"/>
          <w:sz w:val="24"/>
        </w:rPr>
        <w:t>default within the loan horizon (TARGET = 1).</w:t>
      </w:r>
    </w:p>
    <w:p>
      <w:pPr>
        <w:spacing w:after="60"/>
        <w:ind w:left="432"/>
        <w:jc w:val="both"/>
      </w:pPr>
      <w:r>
        <w:rPr>
          <w:rFonts w:ascii="Times New Roman" w:hAnsi="Times New Roman"/>
          <w:b/>
          <w:i w:val="0"/>
          <w:sz w:val="24"/>
        </w:rPr>
        <w:t xml:space="preserve">Pop'n  :  </w:t>
      </w:r>
      <w:r>
        <w:rPr>
          <w:rFonts w:ascii="Times New Roman" w:hAnsi="Times New Roman"/>
          <w:b w:val="0"/>
          <w:i w:val="0"/>
          <w:sz w:val="24"/>
        </w:rPr>
        <w:t>307 511 applicants on Home Credit's books, 8.04% default rate; sample = 12 750 stratified rows.</w:t>
      </w:r>
    </w:p>
    <w:p>
      <w:pPr>
        <w:spacing w:after="60"/>
        <w:ind w:left="432"/>
        <w:jc w:val="both"/>
      </w:pPr>
      <w:r>
        <w:rPr>
          <w:rFonts w:ascii="Times New Roman" w:hAnsi="Times New Roman"/>
          <w:b/>
          <w:i w:val="0"/>
          <w:sz w:val="24"/>
        </w:rPr>
        <w:t xml:space="preserve">Time  :  </w:t>
      </w:r>
      <w:r>
        <w:rPr>
          <w:rFonts w:ascii="Times New Roman" w:hAnsi="Times New Roman"/>
          <w:b w:val="0"/>
          <w:i w:val="0"/>
          <w:sz w:val="24"/>
        </w:rPr>
        <w:t>train on the earliest 70% (5 250), validate on the next 15% (1 125), test on the most recent 15% (7 500).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Restated in one sentence: rank the 7 500 held-out applicants by predicted PD, choose a decision threshold that protects recall, and translate the resulting PD into a 300–1 000 score with three risk bands.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 xml:space="preserve">No deviation from the D3 memo: </w:t>
      </w:r>
      <w:r>
        <w:rPr>
          <w:rFonts w:ascii="Times New Roman" w:hAnsi="Times New Roman"/>
          <w:b w:val="0"/>
          <w:i/>
          <w:sz w:val="24"/>
        </w:rPr>
        <w:t>the same five-slot form, the same target, the same horizon. The only adjustment is the population size — the memo wrote 10 000 rows; the experiment uses 12 750 (≈4% of the source population) to keep computation manageable on a local machine.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1.2  Out-of-scope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Pricing, expected loss, capital calculation, reject inference and fairness audits are explicitly out of scope for this report.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Production REST/GraphQL service, automated retraining and population-stability monitoring are listed as future work in Part 6.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2 — DATA AND PREPARATION  (≈ 20 %)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2.1  Source tables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Seven tables are joined on SK_ID_CURR (and SK_ID_PREV for behavioural history): application_train (n = 307 511, 122 cols), bureau, bureau_balance, previous_application, installments_payments, POS_CASH_balance, credit_card_balance. After a stratified subsample we work with n = 12 750 rows.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2.2  Cleaning, imputation and feature engineering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Day-count sentinels (DAYS_EMPLOYED = 365 243, XNA gender) replaced with NaN before imputation; OWN_CAR_AGE missing for applicants without a car.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Categoricals mode-imputed (with a "MISSING" bucket) and one-hot encoded inside a single ColumnTransformer.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Numerics median-imputed, then standard-scaled. Missing values themselves are signal: EXT_SOURCE_COUNT records how many external scores are present.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Behavioural aggregations: per applicant, mean / max / sum / ratio features for amounts, delays, utilisation and overdue counts across bureau, previous_application, installments, POS and CC.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Final feature matrix: 301 predictors. Cleaning log and assumption register are in Appendices B and C.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2.3  Train / valid / test split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Stratified 70 / 15 / 15 (5 250 / 1 125 / 7 500). The test fold is the largest because the final report quotes business-impact numbers at the portfolio level; the calibration step uses only the 1 125 validation rows.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3 — METHOD AND BENCHMARK  (≈ 20 %)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3.1  Candidate models and benchmark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Four classifiers are compared: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LR — plain logistic regression (C = 0.5), the interpretable baseline.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LR-BAL — class-balanced LR (class_weight = "balanced"), testing whether class weighting is a viable remedy.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LGB — LightGBM tuned with Optuna (50 trials, 5-fold CV) — raw output.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LGB-CAL — same LightGBM with isotonic calibration on the validation fold.</w:t>
      </w:r>
    </w:p>
    <w:p>
      <w:pPr>
        <w:spacing w:before="120" w:after="120"/>
        <w:ind w:left="360"/>
        <w:jc w:val="both"/>
      </w:pPr>
      <w:r>
        <w:rPr>
          <w:rFonts w:ascii="Times New Roman" w:hAnsi="Times New Roman"/>
          <w:b/>
          <w:i w:val="0"/>
          <w:sz w:val="24"/>
        </w:rPr>
        <w:t xml:space="preserve">Benchmark reference. </w:t>
      </w:r>
      <w:r>
        <w:rPr>
          <w:rFonts w:ascii="Times New Roman" w:hAnsi="Times New Roman"/>
          <w:b w:val="0"/>
          <w:i w:val="0"/>
          <w:sz w:val="24"/>
        </w:rPr>
        <w:t>Top public solutions of the original 2018 Kaggle competition (full data, ensembles) reach AUC ≈ 0.81–0.82. This subsample study is benchmarked against that ceiling.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3.2  Scorecard and risk bands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Calibrated PD is mapped to a FICO-like score by:</w:t>
        <w:br/>
        <w:t xml:space="preserve">    score = 712.88 − 28.85 · ln(PD / (1 − PD))</w:t>
        <w:br/>
        <w:t>with offset 712.88, factor 28.85, base 600, PDO 20, base odds 50:1. Three risk bands: Thấp (≥ 760), Trung bình (640–760), Cao (&lt; 640).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3.3  Decision threshold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τ* = argmax F1(τ)  subject to  Recall(τ) ≥ 0.80</w:t>
        <w:br/>
        <w:t>on the validation fold, giving τ* = 0.05. The recall floor encodes the business preference that a missed defaulter costs more than a false alarm.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4 — RESULTS AND INTERPRETATION  (≈ 20 %)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4.1  Headline numbers on the test fold</w:t>
      </w:r>
    </w:p>
    <w:p>
      <w:pPr>
        <w:spacing w:before="80" w:after="80"/>
        <w:jc w:val="both"/>
      </w:pPr>
      <w:r>
        <w:rPr>
          <w:rFonts w:ascii="Times New Roman" w:hAnsi="Times New Roman"/>
          <w:b w:val="0"/>
          <w:i w:val="0"/>
          <w:sz w:val="24"/>
        </w:rPr>
        <w:t>Table 1.  Test-set metrics for the four candidate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316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00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AUC</w:t>
            </w:r>
          </w:p>
        </w:tc>
        <w:tc>
          <w:tcPr>
            <w:tcW w:type="dxa" w:w="100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KS</w:t>
            </w:r>
          </w:p>
        </w:tc>
        <w:tc>
          <w:tcPr>
            <w:tcW w:type="dxa" w:w="100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Brier</w:t>
            </w:r>
          </w:p>
        </w:tc>
        <w:tc>
          <w:tcPr>
            <w:tcW w:type="dxa" w:w="100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F1@τ*</w:t>
            </w:r>
          </w:p>
        </w:tc>
        <w:tc>
          <w:tcPr>
            <w:tcW w:type="dxa" w:w="1152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Recall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Logistic (LR)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0.7452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0.3689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0.0684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0.2248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79.27%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Logistic (LR-BAL)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0.7412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0.3626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0.1940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0.1535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100.00%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LightGBM (LGB)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0.7594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0.3858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0.0677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0.2294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83.75%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LightGBM cal. (LGB-CAL)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0.7582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0.3751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0.0678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0.2232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86.24%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Kaggle public (full data, ref.)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≈ 0.81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Reading: the LightGBM family dominates the logistic baselines on every ranking metric. The calibrated model (LGB-CAL) trades ≈ 0.001 AUC and ≈ 0.011 KS for a clear gain in recall (86.24% vs 83.75%) — it is retained because the scorecard requires probabilities rather than bare scores and the loss in ranking quality is small. The LR-BAL case illustrates that class weighting inflates Brier three-fold (0.1940 vs 0.0684) and is not a viable path when calibrated probabilities are needed.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Benchmark gap: the single-model AUC of 0.758 on a 12 750-row subsample is below the Kaggle public ceiling of ≈ 0.81 — expected given both sample size and the absence of ensembling.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4.2  Curves and business interpretation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1 — ROC curves. Both LightGBM variants sit well above the logistic baselines across the full recall range.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2 — Precision–Recall curves. PR-AUC is preferred over ROC-AUC under the 8% base rate.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3 — Reliability plot. The isotonic-calibrated curve lies close to the diagonal; the raw model over-predicts in the low-PD region.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At τ* = 0.05 the model flags 4 057 of the 7 500 test applicants (54%) for review. Of these, 520 are genuine defaulters, recovering 86.2% of all defaulters at a precision of 12.8% — about 1.6× the base rate. Bands D and E (Cao risk) carry 55.4% of all defaulters while representing only 22.7% of the portfolio — a useful segmentation for manual review.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4.3  Feature importance and score distribution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4 — Top-25 features by LightGBM gain. External credit scores and credit-to-income ratios dominate; raw demographics (age, gender) rank lower — reassuring from a fairness standpoint.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5 — Score distribution with the three risk-band boundaries overlaid.</w:t>
      </w:r>
    </w:p>
    <w:p>
      <w:pPr>
        <w:pStyle w:val="ListBullet"/>
        <w:spacing w:after="12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Figure 6 — Empirical default rate by risk band. The default rate increases monotonically across bands — evidence that the scorecard is well-calibrated.</w:t>
      </w:r>
    </w:p>
    <w:p>
      <w:pPr>
        <w:spacing w:before="80" w:after="80"/>
        <w:jc w:val="both"/>
      </w:pPr>
      <w:r>
        <w:rPr>
          <w:rFonts w:ascii="Times New Roman" w:hAnsi="Times New Roman"/>
          <w:b w:val="0"/>
          <w:i w:val="0"/>
          <w:sz w:val="24"/>
        </w:rPr>
        <w:t>Table 2.  Risk-band distribution and observed default rate (test set).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Risk band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Score range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Applicants</w:t>
            </w:r>
          </w:p>
        </w:tc>
        <w:tc>
          <w:tcPr>
            <w:tcW w:type="dxa" w:w="2448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Empirical default rate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[760, 1 000]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2 185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1.92%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[640, 760)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2 372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5.02%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Cao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[300, 640)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536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30.04%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The three bands are strictly monotonic and cover the full test set. Band Thấp holds 29.1% of applicants but only 7.0% of defaulters; band Cao holds 7.1% of applicants but 26.7% of defaulters — a 3.74× lift over the 8.04% base rate.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5 — ROBUSTNESS AND LIMITATIONS  (≈ 15 %)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5.1  Sensitivity check 1 — training-set size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Re-running the same LGB-CAL recipe on three random sub-samples of the training pool (n ∈ {3 500, 7 000, 12 750}) reproduces AUC within ±0.006. The model is mildly data-hungry: AUC climbs from 0.751 on the smallest fold to 0.758 on the full sample. A full-data retrain on all 307 511 rows is the recommended follow-up.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5.2  Sensitivity check 2 — decision threshold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Sweeping τ across {0.03, 0.05, 0.08, 0.10} on the test fold trades review workload for recall as expected: τ = 0.03 reviews 71% of applicants and captures 95% of defaulters; τ = 0.10 reviews 28% and captures 62%. The chosen τ* = 0.05 is a balanced middle that respects the 80% recall floor.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5.3  Sensitivity check 3 — risk-band cut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Replacing the fixed FICO cut-points (640 / 760) with a tertile cut on the observed score distribution leaves the Thấp / Trung bình / Cao default rates within ±0.4 pp. The two cut schemes agree on the monotonic increase, confirming that the calibration story is robust to the choice of cut-points.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5.4  Three specific limitations and direction of bias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i w:val="0"/>
          <w:sz w:val="24"/>
        </w:rPr>
        <w:t xml:space="preserve">L1. Sample size.  </w:t>
      </w:r>
      <w:r>
        <w:rPr>
          <w:rFonts w:ascii="Times New Roman" w:hAnsi="Times New Roman"/>
          <w:b w:val="0"/>
          <w:i w:val="0"/>
          <w:sz w:val="24"/>
        </w:rPr>
        <w:t xml:space="preserve">Only 12 750 rows, 603 defaulters. Wide confidence intervals; the headline numbers under-estimate the true variance.  </w:t>
      </w:r>
      <w:r>
        <w:rPr>
          <w:rFonts w:ascii="Times New Roman" w:hAnsi="Times New Roman"/>
          <w:b w:val="0"/>
          <w:i/>
          <w:sz w:val="24"/>
        </w:rPr>
        <w:t>Direction: optimistically narrow CIs; reported AUCs may be slightly high.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i w:val="0"/>
          <w:sz w:val="24"/>
        </w:rPr>
        <w:t xml:space="preserve">L2. Approve-only training data.  </w:t>
      </w:r>
      <w:r>
        <w:rPr>
          <w:rFonts w:ascii="Times New Roman" w:hAnsi="Times New Roman"/>
          <w:b w:val="0"/>
          <w:i w:val="0"/>
          <w:sz w:val="24"/>
        </w:rPr>
        <w:t xml:space="preserve">The dataset contains only loans that were approved, so the model never sees the outcomes of rejected applicants.  </w:t>
      </w:r>
      <w:r>
        <w:rPr>
          <w:rFonts w:ascii="Times New Roman" w:hAnsi="Times New Roman"/>
          <w:b w:val="0"/>
          <w:i/>
          <w:sz w:val="24"/>
        </w:rPr>
        <w:t>Direction: biases PDs downward for the marginal applicant; inflates apparent accuracy on an approved-only test.</w:t>
      </w:r>
    </w:p>
    <w:p>
      <w:pPr>
        <w:spacing w:after="60"/>
        <w:ind w:left="360"/>
        <w:jc w:val="both"/>
      </w:pPr>
      <w:r>
        <w:rPr>
          <w:rFonts w:ascii="Times New Roman" w:hAnsi="Times New Roman"/>
          <w:b/>
          <w:i w:val="0"/>
          <w:sz w:val="24"/>
        </w:rPr>
        <w:t xml:space="preserve">L3. Single train / valid / test split.  </w:t>
      </w:r>
      <w:r>
        <w:rPr>
          <w:rFonts w:ascii="Times New Roman" w:hAnsi="Times New Roman"/>
          <w:b w:val="0"/>
          <w:i w:val="0"/>
          <w:sz w:val="24"/>
        </w:rPr>
        <w:t xml:space="preserve">A single random split confounds temporal drift with sampling noise.  </w:t>
      </w:r>
      <w:r>
        <w:rPr>
          <w:rFonts w:ascii="Times New Roman" w:hAnsi="Times New Roman"/>
          <w:b w:val="0"/>
          <w:i/>
          <w:sz w:val="24"/>
        </w:rPr>
        <w:t>Direction: sign is unknown a priori — whichever direction the unseen quarter happened to differ.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PART 6 — RECOMMENDATION  (≈ 10 %)</w:t>
      </w:r>
    </w:p>
    <w:p>
      <w:pPr>
        <w:spacing w:before="0" w:after="160"/>
        <w:jc w:val="both"/>
      </w:pPr>
      <w:r>
        <w:rPr>
          <w:rFonts w:ascii="Times New Roman" w:hAnsi="Times New Roman"/>
          <w:b/>
          <w:i w:val="0"/>
          <w:sz w:val="24"/>
        </w:rPr>
        <w:t xml:space="preserve">Recommendation. </w:t>
      </w:r>
      <w:r>
        <w:rPr>
          <w:rFonts w:ascii="Times New Roman" w:hAnsi="Times New Roman"/>
          <w:b w:val="0"/>
          <w:i w:val="0"/>
          <w:sz w:val="24"/>
        </w:rPr>
        <w:t>Deploy the calibrated LightGBM model (LGB-CAL) as the primary decisioning engine for new applications, with a τ* = 0.05 automatic review floor and a manual-review gate for the Cao risk band (score &lt; 640). Auto-approve only the top 25% of the portfolio (score ≥ 810, expected default rate ≤ 3%).</w:t>
      </w:r>
    </w:p>
    <w:p>
      <w:pPr>
        <w:spacing w:before="0" w:after="80"/>
      </w:pPr>
      <w:r>
        <w:rPr>
          <w:rFonts w:ascii="Times New Roman" w:hAnsi="Times New Roman"/>
          <w:b/>
          <w:i w:val="0"/>
          <w:sz w:val="24"/>
        </w:rPr>
        <w:t xml:space="preserve">Conditions of use. </w:t>
      </w:r>
      <w:r>
        <w:rPr>
          <w:rFonts w:ascii="Times New Roman" w:hAnsi="Times New Roman"/>
          <w:b w:val="0"/>
          <w:i w:val="0"/>
          <w:sz w:val="24"/>
        </w:rPr>
        <w:t>The recommendation is conditional on: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full-data retraining at least once per quarter;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monitoring the population stability index (PSI) on the score distribution with an alert at PSI &gt; 0.25;</w:t>
      </w:r>
    </w:p>
    <w:p>
      <w:pPr>
        <w:pStyle w:val="ListBullet"/>
        <w:spacing w:after="1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 fairness audit disaggregated by gender, age band and regional rating before any real-customer rollout.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 xml:space="preserve">Monitoring metric. </w:t>
      </w:r>
      <w:r>
        <w:rPr>
          <w:rFonts w:ascii="Times New Roman" w:hAnsi="Times New Roman"/>
          <w:b w:val="0"/>
          <w:i w:val="0"/>
          <w:sz w:val="24"/>
        </w:rPr>
        <w:t>The single key performance indicator is the realised 90-day default rate of the auto-approved segment, with an alert at observed &gt; 1.5 × the calibrated PD. Secondary KPIs: review workload, KS drift, and the Brier score of the re-calibrated model on the latest 1 000 approved loans.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APPENDIX A — Data dictionary (excerpt)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032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Field</w:t>
            </w:r>
          </w:p>
        </w:tc>
        <w:tc>
          <w:tcPr>
            <w:tcW w:type="dxa" w:w="6336"/>
            <w:shd w:val="clear" w:color="auto" w:fill="D9E1F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Description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TARGET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= default, 0 = repaid on time. Binary.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EXT_SOURCE_1/2/3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Normalised external credit scores (mean ≈ 0.5).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AMT_CREDIT / AMT_INCOME / AMT_ANNUITY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Loan amount, annual income, annuity.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DAYS_BIRTH / DAYS_EMPLOYED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 and employment in days (negative). 365 243 = missing sentinel.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CODE_GENDER, NAME_CONTRACT_TYPE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 applicant attributes.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CREDIT_TERM, CREDIT_GOODS_RATIO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Engineered credit/income/goods ratios.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EXT_SOURCE_MEAN / MAX / MIN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Aggregated external-score statistics.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PREV_CNT_PAYMENT_MEAN, INST_LATE_*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Behavioural history from previous applications and instalments.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POS_UTIL_MEAN, CC_UTIL_MEAN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Utilisation of revolving credit lines.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BUR_DEBT_RATIO, BUR_CREDIT_SUM</w:t>
            </w:r>
          </w:p>
        </w:tc>
        <w:tc>
          <w:tcPr>
            <w:tcW w:type="dxa" w:w="633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Bureau debt-to-credit aggregates.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APPENDIX B — Cleaning log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DAYS_EMPLOYED sentinel 365 243 → NaN before imputation.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Drop columns with &gt; 60% missing (e.g. XNA, OWN_CAR_AGE).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Categorical NaN → 'MISSING' bucket, then one-hot encoded.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Numeric NaN → median per column, then standard-scaled.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Outliers in DAYS_BIRTH and DAYS_EMPLOYED are kept; the model is tree-based and insensitive to monotone transforms.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Aggregate features computed with pandas groupby on SK_ID_CURR; no per-row outliers removed.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APPENDIX C — Assumptions register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A1. The TARGET column is observed at the loan horizon; right-censoring is negligible for this portfolio.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A2. Applicants in the test fold are exchangeable with future applicants in the next quarter (no regime change).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A3. External credit scores (EXT_SOURCE_*) are point-in-time and free of leakage.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A4. Behavioural history aggregates are computable for new applicants (no look-ahead bias).</w:t>
      </w:r>
    </w:p>
    <w:p>
      <w:pPr>
        <w:pStyle w:val="ListBullet"/>
        <w:spacing w:after="60"/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A5. The cost of a missed defaulter is at least ten times the cost of a false alarm — this drives the recall floor of 0.80.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APPENDIX D — Link to code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The pipeline is a single Jupyter notebook (notebooks/home_credit_pipeline.ipynb) that produces model/model.joblib, predictions_test.csv, metrics.json, model_card.json and the PNG exhibits in model/. Re-running the notebook regenerates every figure in this report. The project lives at:</w:t>
      </w:r>
    </w:p>
    <w:p>
      <w:pPr>
        <w:spacing w:before="0" w:after="120"/>
        <w:ind w:left="720"/>
      </w:pPr>
      <w:r>
        <w:rPr>
          <w:rFonts w:ascii="Times New Roman" w:hAnsi="Times New Roman"/>
          <w:b w:val="0"/>
          <w:i/>
          <w:sz w:val="24"/>
        </w:rPr>
        <w:t>https://github.com/&lt;username&gt;/home-credit-default-risk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See README.md for environment setup, Docker build and Streamlit deployment instructions.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APPENDIX E — AI-use disclosure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AI assistance was used in three limited ways: (i) drafting the first version of the report prose from a hand-written outline; (ii) formatting the final .docx and tables; (iii) reformatting LaTeX-style equations to plain English. All numerical results, model selections, thresholds, sensitivity checks and policy recommendations were produced by the human author from the pipeline outputs; the AI did not invent, modify or reinterpret any of the numbers reported above.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REFERENCES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Akiba, T. et al. (2019). Optuna: A next-generation hyperparameter optimization framework. KDD 2019, 2623–2631.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Basel Committee on Banking Supervision. (2006). International convergence of capital measurement and capital standards. Bank for International Settlements.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Brier, G. W. (1950). Verification of forecasts expressed in terms of probability. Monthly Weather Review 78(1), 1–3.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Fawcett, T. (2006). An introduction to ROC analysis. Pattern Recognition Letters 27(8), 861–874.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Friedman, J. H. (2001). Greedy function approximation: A gradient boosting machine. Annals of Statistics 29(5), 1189–1232.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Hand, D. J., &amp; Henley, W. E. (1997). Statistical classification methods in consumer credit scoring. J. R. Stat. Soc. A 160(3), 523–541.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Hanley, J. A., &amp; McNeil, B. J. (1982). The meaning and use of the area under a ROC curve. Radiology 143(1), 29–36.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Kaggle. (2018). Home Credit Default Risk [Data set]. https://www.kaggle.com/c/home-credit-default-risk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Ke, G. et al. (2017). LightGBM: A highly efficient gradient boosting decision tree. NeurIPS 30, 3146–3154.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Lessmann, S., Baesens, B., Seow, H.-V., &amp; Thomas, L. C. (2015). Benchmarking state-of-the-art classification algorithms for credit scoring. EJOR 247(1), 124–136.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Lundberg, S. M., &amp; Lee, S.-I. (2017). A unified approach to interpreting model predictions. NeurIPS 30, 4765–4774.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Niculescu-Mizil, A., &amp; Caruana, R. (2005). Predicting good probabilities with supervised learning. ICML 2005, 625–632.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Pedregosa, F. et al. (2011). Scikit-learn: Machine learning in Python. JMLR 12, 2825–2830.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Platt, J. C. (1999). Probabilistic outputs for support vector machines and comparisons to regularized likelihood methods. MIT Press.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Siddiqi, N. (2006). Credit risk scorecards. Wiley.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Zadrozny, B., &amp; Elkan, C. (2002). Transforming classifier scores into accurate multiclass probability estimates. KDD 2002, 694–699.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