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0B79" w14:textId="6010A018" w:rsidR="0037407C" w:rsidRPr="0037407C" w:rsidRDefault="0037407C" w:rsidP="003740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407C">
        <w:rPr>
          <w:rFonts w:ascii="Arial" w:hAnsi="Arial" w:cs="Arial"/>
          <w:b/>
          <w:bCs/>
          <w:sz w:val="28"/>
          <w:szCs w:val="28"/>
        </w:rPr>
        <w:t>Project 1 – Analyzing World Series Winners</w:t>
      </w:r>
    </w:p>
    <w:p w14:paraId="0F3370C2" w14:textId="77777777" w:rsidR="0037407C" w:rsidRDefault="0037407C">
      <w:pPr>
        <w:rPr>
          <w:rFonts w:ascii="Arial" w:hAnsi="Arial" w:cs="Arial"/>
        </w:rPr>
      </w:pPr>
    </w:p>
    <w:p w14:paraId="6C7225DD" w14:textId="0770D8A2" w:rsidR="008E7482" w:rsidRPr="006856FB" w:rsidRDefault="00B41E18">
      <w:pPr>
        <w:rPr>
          <w:rFonts w:ascii="Arial" w:hAnsi="Arial" w:cs="Arial"/>
        </w:rPr>
      </w:pPr>
      <w:r w:rsidRPr="006856FB">
        <w:rPr>
          <w:rFonts w:ascii="Arial" w:hAnsi="Arial" w:cs="Arial"/>
        </w:rPr>
        <w:t xml:space="preserve">The purpose of this project was to explore data using major league baseball statistics as a reference.  </w:t>
      </w:r>
      <w:r w:rsidR="00402103" w:rsidRPr="006856FB">
        <w:rPr>
          <w:rFonts w:ascii="Arial" w:hAnsi="Arial" w:cs="Arial"/>
        </w:rPr>
        <w:t>The question to be answered is as follows:</w:t>
      </w:r>
      <w:r w:rsidRPr="006856FB">
        <w:rPr>
          <w:rFonts w:ascii="Arial" w:hAnsi="Arial" w:cs="Arial"/>
        </w:rPr>
        <w:t xml:space="preserve"> </w:t>
      </w:r>
      <w:r w:rsidR="00402103" w:rsidRPr="006856FB">
        <w:rPr>
          <w:rFonts w:ascii="Arial" w:hAnsi="Arial" w:cs="Arial"/>
        </w:rPr>
        <w:t>is</w:t>
      </w:r>
      <w:r w:rsidRPr="006856FB">
        <w:rPr>
          <w:rFonts w:ascii="Arial" w:hAnsi="Arial" w:cs="Arial"/>
        </w:rPr>
        <w:t xml:space="preserve"> offense</w:t>
      </w:r>
      <w:r w:rsidR="00402103" w:rsidRPr="006856FB">
        <w:rPr>
          <w:rFonts w:ascii="Arial" w:hAnsi="Arial" w:cs="Arial"/>
        </w:rPr>
        <w:t>, fielding or pitching</w:t>
      </w:r>
      <w:r w:rsidRPr="006856FB">
        <w:rPr>
          <w:rFonts w:ascii="Arial" w:hAnsi="Arial" w:cs="Arial"/>
        </w:rPr>
        <w:t xml:space="preserve"> more important in determining the outcome of a world series winner.  To answer this question, </w:t>
      </w:r>
      <w:r w:rsidR="00E72879" w:rsidRPr="006856FB">
        <w:rPr>
          <w:rFonts w:ascii="Arial" w:hAnsi="Arial" w:cs="Arial"/>
        </w:rPr>
        <w:t xml:space="preserve">the metrics used include wins-above replacement levels to </w:t>
      </w:r>
      <w:r w:rsidRPr="006856FB">
        <w:rPr>
          <w:rFonts w:ascii="Arial" w:hAnsi="Arial" w:cs="Arial"/>
        </w:rPr>
        <w:t>provide a measure of comparison to the rest of the league</w:t>
      </w:r>
      <w:r w:rsidR="00E72879" w:rsidRPr="006856FB">
        <w:rPr>
          <w:rFonts w:ascii="Arial" w:hAnsi="Arial" w:cs="Arial"/>
        </w:rPr>
        <w:t xml:space="preserve"> </w:t>
      </w:r>
      <w:r w:rsidR="000F6E01" w:rsidRPr="006856FB">
        <w:rPr>
          <w:rFonts w:ascii="Arial" w:hAnsi="Arial" w:cs="Arial"/>
        </w:rPr>
        <w:t>and between categories</w:t>
      </w:r>
      <w:r w:rsidRPr="006856FB">
        <w:rPr>
          <w:rFonts w:ascii="Arial" w:hAnsi="Arial" w:cs="Arial"/>
        </w:rPr>
        <w:t xml:space="preserve">.  Information was pulled from baseball-reference.com and uses wins-above-replacement (WAR) among world series winners since 1980.  </w:t>
      </w:r>
      <w:r w:rsidR="00024252" w:rsidRPr="006856FB">
        <w:rPr>
          <w:rFonts w:ascii="Arial" w:hAnsi="Arial" w:cs="Arial"/>
        </w:rPr>
        <w:t>The premise behind WAR is calculating the contribution to wins above what a replacement player would have theoretically achieved.  It factors in batting, pitching, defense and baserunning statistics and can be aggregated to reflect a team’s WAR broken down as offensive</w:t>
      </w:r>
      <w:r w:rsidR="00D85B76" w:rsidRPr="006856FB">
        <w:rPr>
          <w:rFonts w:ascii="Arial" w:hAnsi="Arial" w:cs="Arial"/>
        </w:rPr>
        <w:t>, pitching,</w:t>
      </w:r>
      <w:r w:rsidR="00024252" w:rsidRPr="006856FB">
        <w:rPr>
          <w:rFonts w:ascii="Arial" w:hAnsi="Arial" w:cs="Arial"/>
        </w:rPr>
        <w:t xml:space="preserve"> or defensive WAR.  </w:t>
      </w:r>
      <w:r w:rsidR="00813FD2" w:rsidRPr="006856FB">
        <w:rPr>
          <w:rFonts w:ascii="Arial" w:hAnsi="Arial" w:cs="Arial"/>
        </w:rPr>
        <w:t>A formula from fangraphs.com provides offensive WAR calculations as follows:</w:t>
      </w:r>
      <w:r w:rsidR="00DF2E5C" w:rsidRPr="006856FB">
        <w:rPr>
          <w:rFonts w:ascii="Arial" w:hAnsi="Arial" w:cs="Arial"/>
        </w:rPr>
        <w:t xml:space="preserve"> WAR = (Batting Runs + Base Running Runs + Positional Adjustment + League Adjustment +Replacement Runs) / (Runs Per Win).  </w:t>
      </w:r>
      <w:r w:rsidR="003E4E3E" w:rsidRPr="006856FB">
        <w:rPr>
          <w:rFonts w:ascii="Arial" w:hAnsi="Arial" w:cs="Arial"/>
        </w:rPr>
        <w:t xml:space="preserve">Pitching WAR is defined as WAR = </w:t>
      </w:r>
      <w:proofErr w:type="gramStart"/>
      <w:r w:rsidR="003E4E3E" w:rsidRPr="006856FB">
        <w:rPr>
          <w:rFonts w:ascii="Arial" w:hAnsi="Arial" w:cs="Arial"/>
        </w:rPr>
        <w:t>[[(</w:t>
      </w:r>
      <w:proofErr w:type="gramEnd"/>
      <w:r w:rsidR="003E4E3E" w:rsidRPr="006856FB">
        <w:rPr>
          <w:rFonts w:ascii="Arial" w:hAnsi="Arial" w:cs="Arial"/>
        </w:rPr>
        <w:t>[(League “FIP” – “FIP”) / Pitcher Specific Runs Per Win] + Replacement Level) * (IP/9)] * Leverage Multiplier for Relievers] + League Correction</w:t>
      </w:r>
      <w:r w:rsidR="00617FB6" w:rsidRPr="006856FB">
        <w:rPr>
          <w:rFonts w:ascii="Arial" w:hAnsi="Arial" w:cs="Arial"/>
        </w:rPr>
        <w:t>.</w:t>
      </w:r>
      <w:r w:rsidR="0074701F" w:rsidRPr="006856FB">
        <w:rPr>
          <w:rFonts w:ascii="Arial" w:hAnsi="Arial" w:cs="Arial"/>
        </w:rPr>
        <w:t xml:space="preserve">  Defensive WAR </w:t>
      </w:r>
      <w:r w:rsidR="00327DCD" w:rsidRPr="006856FB">
        <w:rPr>
          <w:rFonts w:ascii="Arial" w:hAnsi="Arial" w:cs="Arial"/>
        </w:rPr>
        <w:t>pertains to Fielding Runs above replacement.</w:t>
      </w:r>
    </w:p>
    <w:p w14:paraId="18050623" w14:textId="22936DFD" w:rsidR="0058212C" w:rsidRPr="006856FB" w:rsidRDefault="00024252">
      <w:pPr>
        <w:rPr>
          <w:rFonts w:ascii="Arial" w:hAnsi="Arial" w:cs="Arial"/>
        </w:rPr>
      </w:pPr>
      <w:r w:rsidRPr="006856FB">
        <w:rPr>
          <w:rFonts w:ascii="Arial" w:hAnsi="Arial" w:cs="Arial"/>
        </w:rPr>
        <w:br/>
        <w:t xml:space="preserve">The data summary provides the mean, median and standard deviation </w:t>
      </w:r>
      <w:r w:rsidR="00CD6C1A" w:rsidRPr="006856FB">
        <w:rPr>
          <w:rFonts w:ascii="Arial" w:hAnsi="Arial" w:cs="Arial"/>
        </w:rPr>
        <w:t>of all three categories</w:t>
      </w:r>
      <w:r w:rsidR="006E6A23" w:rsidRPr="006856FB">
        <w:rPr>
          <w:rFonts w:ascii="Arial" w:hAnsi="Arial" w:cs="Arial"/>
        </w:rPr>
        <w:t xml:space="preserve">.  </w:t>
      </w:r>
      <w:r w:rsidR="00327DCD" w:rsidRPr="006856FB">
        <w:rPr>
          <w:rFonts w:ascii="Arial" w:hAnsi="Arial" w:cs="Arial"/>
        </w:rPr>
        <w:t xml:space="preserve">It also lists the frequency </w:t>
      </w:r>
      <w:r w:rsidR="007B5D88" w:rsidRPr="006856FB">
        <w:rPr>
          <w:rFonts w:ascii="Arial" w:hAnsi="Arial" w:cs="Arial"/>
        </w:rPr>
        <w:t xml:space="preserve">that world series winners </w:t>
      </w:r>
      <w:r w:rsidR="00F950A7" w:rsidRPr="006856FB">
        <w:rPr>
          <w:rFonts w:ascii="Arial" w:hAnsi="Arial" w:cs="Arial"/>
        </w:rPr>
        <w:t>appear</w:t>
      </w:r>
      <w:r w:rsidR="007B5D88" w:rsidRPr="006856FB">
        <w:rPr>
          <w:rFonts w:ascii="Arial" w:hAnsi="Arial" w:cs="Arial"/>
        </w:rPr>
        <w:t xml:space="preserve"> in the top quartile and top 5 teams in the league.  </w:t>
      </w:r>
      <w:r w:rsidR="006E6A23" w:rsidRPr="006856FB">
        <w:rPr>
          <w:rFonts w:ascii="Arial" w:hAnsi="Arial" w:cs="Arial"/>
        </w:rPr>
        <w:t>The results are consolidated in Figures 1 and 2.</w:t>
      </w:r>
      <w:r w:rsidR="007C1753" w:rsidRPr="006856FB">
        <w:rPr>
          <w:rFonts w:ascii="Arial" w:hAnsi="Arial" w:cs="Arial"/>
        </w:rPr>
        <w:t xml:space="preserve">  </w:t>
      </w:r>
      <w:r w:rsidR="00161F17" w:rsidRPr="006856FB">
        <w:rPr>
          <w:rFonts w:ascii="Arial" w:hAnsi="Arial" w:cs="Arial"/>
        </w:rPr>
        <w:t xml:space="preserve">In </w:t>
      </w:r>
      <w:r w:rsidR="00207665" w:rsidRPr="006856FB">
        <w:rPr>
          <w:rFonts w:ascii="Arial" w:hAnsi="Arial" w:cs="Arial"/>
        </w:rPr>
        <w:t>absolute terms the offensive</w:t>
      </w:r>
      <w:r w:rsidR="0041337D" w:rsidRPr="006856FB">
        <w:rPr>
          <w:rFonts w:ascii="Arial" w:hAnsi="Arial" w:cs="Arial"/>
        </w:rPr>
        <w:t xml:space="preserve"> and pitching</w:t>
      </w:r>
      <w:r w:rsidR="00207665" w:rsidRPr="006856FB">
        <w:rPr>
          <w:rFonts w:ascii="Arial" w:hAnsi="Arial" w:cs="Arial"/>
        </w:rPr>
        <w:t xml:space="preserve"> WAR </w:t>
      </w:r>
      <w:r w:rsidR="00FF51B6" w:rsidRPr="006856FB">
        <w:rPr>
          <w:rFonts w:ascii="Arial" w:hAnsi="Arial" w:cs="Arial"/>
        </w:rPr>
        <w:t>statistic</w:t>
      </w:r>
      <w:r w:rsidR="0041337D" w:rsidRPr="006856FB">
        <w:rPr>
          <w:rFonts w:ascii="Arial" w:hAnsi="Arial" w:cs="Arial"/>
        </w:rPr>
        <w:t>s</w:t>
      </w:r>
      <w:r w:rsidR="00FF51B6" w:rsidRPr="006856FB">
        <w:rPr>
          <w:rFonts w:ascii="Arial" w:hAnsi="Arial" w:cs="Arial"/>
        </w:rPr>
        <w:t xml:space="preserve"> </w:t>
      </w:r>
      <w:r w:rsidR="0041337D" w:rsidRPr="006856FB">
        <w:rPr>
          <w:rFonts w:ascii="Arial" w:hAnsi="Arial" w:cs="Arial"/>
        </w:rPr>
        <w:t>are</w:t>
      </w:r>
      <w:r w:rsidR="00FF51B6" w:rsidRPr="006856FB">
        <w:rPr>
          <w:rFonts w:ascii="Arial" w:hAnsi="Arial" w:cs="Arial"/>
        </w:rPr>
        <w:t xml:space="preserve"> </w:t>
      </w:r>
      <w:r w:rsidR="0041337D" w:rsidRPr="006856FB">
        <w:rPr>
          <w:rFonts w:ascii="Arial" w:hAnsi="Arial" w:cs="Arial"/>
        </w:rPr>
        <w:t>similar.  T</w:t>
      </w:r>
      <w:r w:rsidR="007E310F" w:rsidRPr="006856FB">
        <w:rPr>
          <w:rFonts w:ascii="Arial" w:hAnsi="Arial" w:cs="Arial"/>
        </w:rPr>
        <w:t xml:space="preserve">he world series winner appears in the top quartile and among the top 5 teams </w:t>
      </w:r>
      <w:r w:rsidR="001F5FEA" w:rsidRPr="006856FB">
        <w:rPr>
          <w:rFonts w:ascii="Arial" w:hAnsi="Arial" w:cs="Arial"/>
        </w:rPr>
        <w:t xml:space="preserve">in terms of offensive WAR </w:t>
      </w:r>
      <w:r w:rsidR="00835E10" w:rsidRPr="006856FB">
        <w:rPr>
          <w:rFonts w:ascii="Arial" w:hAnsi="Arial" w:cs="Arial"/>
        </w:rPr>
        <w:t xml:space="preserve">23 and 22 times respectively out of 43 years of data. </w:t>
      </w:r>
      <w:r w:rsidR="001F5FEA" w:rsidRPr="006856FB">
        <w:rPr>
          <w:rFonts w:ascii="Arial" w:hAnsi="Arial" w:cs="Arial"/>
        </w:rPr>
        <w:t xml:space="preserve"> Pitching was similar with values </w:t>
      </w:r>
      <w:r w:rsidR="0017606D" w:rsidRPr="006856FB">
        <w:rPr>
          <w:rFonts w:ascii="Arial" w:hAnsi="Arial" w:cs="Arial"/>
        </w:rPr>
        <w:t xml:space="preserve">of 24 and 19 respectively.  Less </w:t>
      </w:r>
      <w:r w:rsidR="001915F6" w:rsidRPr="006856FB">
        <w:rPr>
          <w:rFonts w:ascii="Arial" w:hAnsi="Arial" w:cs="Arial"/>
        </w:rPr>
        <w:t xml:space="preserve">significant </w:t>
      </w:r>
      <w:r w:rsidR="00B95476" w:rsidRPr="006856FB">
        <w:rPr>
          <w:rFonts w:ascii="Arial" w:hAnsi="Arial" w:cs="Arial"/>
        </w:rPr>
        <w:t xml:space="preserve">were the values for defensive WAR which were 15 and 11 respectively.  </w:t>
      </w:r>
      <w:r w:rsidR="0058212C" w:rsidRPr="006856FB">
        <w:rPr>
          <w:rFonts w:ascii="Arial" w:hAnsi="Arial" w:cs="Arial"/>
        </w:rPr>
        <w:t xml:space="preserve">The </w:t>
      </w:r>
      <w:r w:rsidR="00FC102F" w:rsidRPr="006856FB">
        <w:rPr>
          <w:rFonts w:ascii="Arial" w:hAnsi="Arial" w:cs="Arial"/>
        </w:rPr>
        <w:t xml:space="preserve">data shows </w:t>
      </w:r>
      <w:r w:rsidR="00E21C05" w:rsidRPr="006856FB">
        <w:rPr>
          <w:rFonts w:ascii="Arial" w:hAnsi="Arial" w:cs="Arial"/>
        </w:rPr>
        <w:t>there to be a</w:t>
      </w:r>
      <w:r w:rsidR="00FC102F" w:rsidRPr="006856FB">
        <w:rPr>
          <w:rFonts w:ascii="Arial" w:hAnsi="Arial" w:cs="Arial"/>
        </w:rPr>
        <w:t xml:space="preserve"> relative importance to pitching and hitting over fielding, but not necessarily one over the other.  </w:t>
      </w:r>
    </w:p>
    <w:p w14:paraId="28A9426C" w14:textId="4B7EEDF6" w:rsidR="00024252" w:rsidRPr="006856FB" w:rsidRDefault="00B66B4E">
      <w:pPr>
        <w:rPr>
          <w:rFonts w:ascii="Arial" w:hAnsi="Arial" w:cs="Arial"/>
        </w:rPr>
      </w:pPr>
      <w:r w:rsidRPr="006856FB">
        <w:rPr>
          <w:rFonts w:ascii="Arial" w:hAnsi="Arial" w:cs="Arial"/>
        </w:rPr>
        <w:t xml:space="preserve">Not shown in the data is an overlap that occurred 9 times in which teams were </w:t>
      </w:r>
      <w:r w:rsidR="008D483C" w:rsidRPr="006856FB">
        <w:rPr>
          <w:rFonts w:ascii="Arial" w:hAnsi="Arial" w:cs="Arial"/>
        </w:rPr>
        <w:t xml:space="preserve">top 5 in both pitching and hitting.  </w:t>
      </w:r>
      <w:r w:rsidR="00A9477F" w:rsidRPr="006856FB">
        <w:rPr>
          <w:rFonts w:ascii="Arial" w:hAnsi="Arial" w:cs="Arial"/>
        </w:rPr>
        <w:t>Twice were teams top 5 in all three categories (the 2020 Dodgers and 2016 Cubs).</w:t>
      </w:r>
      <w:r w:rsidR="00264BEC" w:rsidRPr="006856FB">
        <w:rPr>
          <w:rFonts w:ascii="Arial" w:hAnsi="Arial" w:cs="Arial"/>
        </w:rPr>
        <w:t xml:space="preserve">  </w:t>
      </w:r>
      <w:r w:rsidR="009F28E3" w:rsidRPr="006856FB">
        <w:rPr>
          <w:rFonts w:ascii="Arial" w:hAnsi="Arial" w:cs="Arial"/>
        </w:rPr>
        <w:t>General performance and training changes along with the advent of the wild car</w:t>
      </w:r>
      <w:r w:rsidR="007338A0">
        <w:rPr>
          <w:rFonts w:ascii="Arial" w:hAnsi="Arial" w:cs="Arial"/>
        </w:rPr>
        <w:t>d</w:t>
      </w:r>
      <w:r w:rsidR="009F28E3" w:rsidRPr="006856FB">
        <w:rPr>
          <w:rFonts w:ascii="Arial" w:hAnsi="Arial" w:cs="Arial"/>
        </w:rPr>
        <w:t xml:space="preserve"> in 1994 did not seem to affect the data</w:t>
      </w:r>
      <w:r w:rsidR="001C1CD1" w:rsidRPr="006856FB">
        <w:rPr>
          <w:rFonts w:ascii="Arial" w:hAnsi="Arial" w:cs="Arial"/>
        </w:rPr>
        <w:t xml:space="preserve"> over the course of </w:t>
      </w:r>
      <w:r w:rsidR="00C5739B" w:rsidRPr="006856FB">
        <w:rPr>
          <w:rFonts w:ascii="Arial" w:hAnsi="Arial" w:cs="Arial"/>
        </w:rPr>
        <w:t xml:space="preserve">43 years.  Figure 1 shows a </w:t>
      </w:r>
      <w:r w:rsidR="00F950A7" w:rsidRPr="006856FB">
        <w:rPr>
          <w:rFonts w:ascii="Arial" w:hAnsi="Arial" w:cs="Arial"/>
        </w:rPr>
        <w:t>consistent</w:t>
      </w:r>
      <w:r w:rsidR="00C5739B" w:rsidRPr="006856FB">
        <w:rPr>
          <w:rFonts w:ascii="Arial" w:hAnsi="Arial" w:cs="Arial"/>
        </w:rPr>
        <w:t xml:space="preserve"> distribution of world series winners ranked in the upper half </w:t>
      </w:r>
      <w:r w:rsidR="00F15B33" w:rsidRPr="006856FB">
        <w:rPr>
          <w:rFonts w:ascii="Arial" w:hAnsi="Arial" w:cs="Arial"/>
        </w:rPr>
        <w:t>relative to the rest of the league in all three WAR categories.</w:t>
      </w:r>
    </w:p>
    <w:p w14:paraId="410C6D6A" w14:textId="14D83519" w:rsidR="00BA1908" w:rsidRPr="006856FB" w:rsidRDefault="005D192B">
      <w:pPr>
        <w:rPr>
          <w:rFonts w:ascii="Arial" w:hAnsi="Arial" w:cs="Arial"/>
        </w:rPr>
      </w:pPr>
      <w:r w:rsidRPr="006856FB">
        <w:rPr>
          <w:rFonts w:ascii="Arial" w:hAnsi="Arial" w:cs="Arial"/>
        </w:rPr>
        <w:br/>
      </w:r>
      <w:r w:rsidR="00F950A7" w:rsidRPr="006856FB">
        <w:rPr>
          <w:rFonts w:ascii="Arial" w:hAnsi="Arial" w:cs="Arial"/>
        </w:rPr>
        <w:t>Since</w:t>
      </w:r>
      <w:r w:rsidR="00E54064" w:rsidRPr="006856FB">
        <w:rPr>
          <w:rFonts w:ascii="Arial" w:hAnsi="Arial" w:cs="Arial"/>
        </w:rPr>
        <w:t xml:space="preserve"> WAR is an aggregate</w:t>
      </w:r>
      <w:r w:rsidR="0095222A" w:rsidRPr="006856FB">
        <w:rPr>
          <w:rFonts w:ascii="Arial" w:hAnsi="Arial" w:cs="Arial"/>
        </w:rPr>
        <w:t>d</w:t>
      </w:r>
      <w:r w:rsidR="00E54064" w:rsidRPr="006856FB">
        <w:rPr>
          <w:rFonts w:ascii="Arial" w:hAnsi="Arial" w:cs="Arial"/>
        </w:rPr>
        <w:t xml:space="preserve"> </w:t>
      </w:r>
      <w:r w:rsidR="0095222A" w:rsidRPr="006856FB">
        <w:rPr>
          <w:rFonts w:ascii="Arial" w:hAnsi="Arial" w:cs="Arial"/>
        </w:rPr>
        <w:t xml:space="preserve">measurement </w:t>
      </w:r>
      <w:r w:rsidR="00E54064" w:rsidRPr="006856FB">
        <w:rPr>
          <w:rFonts w:ascii="Arial" w:hAnsi="Arial" w:cs="Arial"/>
        </w:rPr>
        <w:t xml:space="preserve">of many factors, </w:t>
      </w:r>
      <w:r w:rsidR="0095222A" w:rsidRPr="006856FB">
        <w:rPr>
          <w:rFonts w:ascii="Arial" w:hAnsi="Arial" w:cs="Arial"/>
        </w:rPr>
        <w:t>one could attempt to select specific categories in offens</w:t>
      </w:r>
      <w:r w:rsidR="007338A0">
        <w:rPr>
          <w:rFonts w:ascii="Arial" w:hAnsi="Arial" w:cs="Arial"/>
        </w:rPr>
        <w:t>e</w:t>
      </w:r>
      <w:r w:rsidR="0095222A" w:rsidRPr="006856FB">
        <w:rPr>
          <w:rFonts w:ascii="Arial" w:hAnsi="Arial" w:cs="Arial"/>
        </w:rPr>
        <w:t xml:space="preserve">, pitching and defense to </w:t>
      </w:r>
      <w:proofErr w:type="spellStart"/>
      <w:r w:rsidR="0095222A" w:rsidRPr="006856FB">
        <w:rPr>
          <w:rFonts w:ascii="Arial" w:hAnsi="Arial" w:cs="Arial"/>
        </w:rPr>
        <w:t>parse</w:t>
      </w:r>
      <w:proofErr w:type="spellEnd"/>
      <w:r w:rsidR="0095222A" w:rsidRPr="006856FB">
        <w:rPr>
          <w:rFonts w:ascii="Arial" w:hAnsi="Arial" w:cs="Arial"/>
        </w:rPr>
        <w:t xml:space="preserve"> down the</w:t>
      </w:r>
      <w:r w:rsidR="00F950A7" w:rsidRPr="006856FB">
        <w:rPr>
          <w:rFonts w:ascii="Arial" w:hAnsi="Arial" w:cs="Arial"/>
        </w:rPr>
        <w:t xml:space="preserve"> specific contributors to world series wins</w:t>
      </w:r>
      <w:r w:rsidR="00E54064" w:rsidRPr="006856FB">
        <w:rPr>
          <w:rFonts w:ascii="Arial" w:hAnsi="Arial" w:cs="Arial"/>
        </w:rPr>
        <w:t xml:space="preserve">.  </w:t>
      </w:r>
      <w:r w:rsidR="006C47B1" w:rsidRPr="006856FB">
        <w:rPr>
          <w:rFonts w:ascii="Arial" w:hAnsi="Arial" w:cs="Arial"/>
        </w:rPr>
        <w:t>For example, one could compare slugging percentage agains</w:t>
      </w:r>
      <w:r w:rsidR="00C922B5" w:rsidRPr="006856FB">
        <w:rPr>
          <w:rFonts w:ascii="Arial" w:hAnsi="Arial" w:cs="Arial"/>
        </w:rPr>
        <w:t>t earned runs average</w:t>
      </w:r>
      <w:r w:rsidR="00F950A7" w:rsidRPr="006856FB">
        <w:rPr>
          <w:rFonts w:ascii="Arial" w:hAnsi="Arial" w:cs="Arial"/>
        </w:rPr>
        <w:t>.</w:t>
      </w:r>
      <w:r w:rsidR="006856FB" w:rsidRPr="006856FB">
        <w:rPr>
          <w:rFonts w:ascii="Arial" w:hAnsi="Arial" w:cs="Arial"/>
        </w:rPr>
        <w:t xml:space="preserve">  A significant category in fielding might include double plays turned.</w:t>
      </w:r>
      <w:r w:rsidR="00730B2F">
        <w:rPr>
          <w:rFonts w:ascii="Arial" w:hAnsi="Arial" w:cs="Arial"/>
        </w:rPr>
        <w:t xml:space="preserve">  With only a few years of data, some of these trends could be altered </w:t>
      </w:r>
      <w:r w:rsidR="00A50701">
        <w:rPr>
          <w:rFonts w:ascii="Arial" w:hAnsi="Arial" w:cs="Arial"/>
        </w:rPr>
        <w:t>by the inclusion of more teams in</w:t>
      </w:r>
      <w:r w:rsidR="007F22B6">
        <w:rPr>
          <w:rFonts w:ascii="Arial" w:hAnsi="Arial" w:cs="Arial"/>
        </w:rPr>
        <w:t xml:space="preserve"> the post season</w:t>
      </w:r>
      <w:r w:rsidR="00A50701">
        <w:rPr>
          <w:rFonts w:ascii="Arial" w:hAnsi="Arial" w:cs="Arial"/>
        </w:rPr>
        <w:t xml:space="preserve">.  </w:t>
      </w:r>
    </w:p>
    <w:p w14:paraId="47E9E8D1" w14:textId="40A774DB" w:rsidR="00BA1908" w:rsidRDefault="00F86A20" w:rsidP="007C1753">
      <w:pPr>
        <w:jc w:val="center"/>
      </w:pPr>
      <w:r>
        <w:rPr>
          <w:noProof/>
        </w:rPr>
        <w:lastRenderedPageBreak/>
        <w:drawing>
          <wp:inline distT="0" distB="0" distL="0" distR="0" wp14:anchorId="733ACA26" wp14:editId="316A16C8">
            <wp:extent cx="5178136" cy="2743200"/>
            <wp:effectExtent l="0" t="0" r="3810" b="0"/>
            <wp:docPr id="1158278388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D178870-14F6-B238-C364-14BC9F566C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61B3A" wp14:editId="34CAB7BA">
            <wp:extent cx="5162550" cy="2921000"/>
            <wp:effectExtent l="0" t="0" r="0" b="12700"/>
            <wp:docPr id="3174950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63B9C4-5EAA-B5B0-935B-E300A03F31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A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18"/>
    <w:rsid w:val="00024252"/>
    <w:rsid w:val="00062DF1"/>
    <w:rsid w:val="00072E86"/>
    <w:rsid w:val="000A2A9B"/>
    <w:rsid w:val="000A2D7C"/>
    <w:rsid w:val="000F6E01"/>
    <w:rsid w:val="00136891"/>
    <w:rsid w:val="00161F17"/>
    <w:rsid w:val="0017606D"/>
    <w:rsid w:val="001915F6"/>
    <w:rsid w:val="001C1CD1"/>
    <w:rsid w:val="001E2AD7"/>
    <w:rsid w:val="001F5FEA"/>
    <w:rsid w:val="00207665"/>
    <w:rsid w:val="00264BEC"/>
    <w:rsid w:val="00286197"/>
    <w:rsid w:val="003008D0"/>
    <w:rsid w:val="00327DCD"/>
    <w:rsid w:val="0037407C"/>
    <w:rsid w:val="003D0777"/>
    <w:rsid w:val="003E4E3E"/>
    <w:rsid w:val="00402103"/>
    <w:rsid w:val="0041337D"/>
    <w:rsid w:val="00433059"/>
    <w:rsid w:val="00436D14"/>
    <w:rsid w:val="00487FB1"/>
    <w:rsid w:val="004C505A"/>
    <w:rsid w:val="00564819"/>
    <w:rsid w:val="0058212C"/>
    <w:rsid w:val="00591BD4"/>
    <w:rsid w:val="005D192B"/>
    <w:rsid w:val="00617FB6"/>
    <w:rsid w:val="00654775"/>
    <w:rsid w:val="006856FB"/>
    <w:rsid w:val="006C47B1"/>
    <w:rsid w:val="006C75CC"/>
    <w:rsid w:val="006E6A23"/>
    <w:rsid w:val="00730B2F"/>
    <w:rsid w:val="007338A0"/>
    <w:rsid w:val="00746A2D"/>
    <w:rsid w:val="0074701F"/>
    <w:rsid w:val="00751E1D"/>
    <w:rsid w:val="007B5D88"/>
    <w:rsid w:val="007C1753"/>
    <w:rsid w:val="007E310F"/>
    <w:rsid w:val="007F22B6"/>
    <w:rsid w:val="00813FD2"/>
    <w:rsid w:val="00835E10"/>
    <w:rsid w:val="00883223"/>
    <w:rsid w:val="008D483C"/>
    <w:rsid w:val="008E7482"/>
    <w:rsid w:val="0095222A"/>
    <w:rsid w:val="009F28E3"/>
    <w:rsid w:val="00A10CD4"/>
    <w:rsid w:val="00A36EBA"/>
    <w:rsid w:val="00A50701"/>
    <w:rsid w:val="00A9477F"/>
    <w:rsid w:val="00A972D8"/>
    <w:rsid w:val="00B41E18"/>
    <w:rsid w:val="00B66B4E"/>
    <w:rsid w:val="00B95476"/>
    <w:rsid w:val="00BA1908"/>
    <w:rsid w:val="00C5739B"/>
    <w:rsid w:val="00C922B5"/>
    <w:rsid w:val="00CD6C1A"/>
    <w:rsid w:val="00D85B76"/>
    <w:rsid w:val="00DF2E5C"/>
    <w:rsid w:val="00E21C05"/>
    <w:rsid w:val="00E54064"/>
    <w:rsid w:val="00E72879"/>
    <w:rsid w:val="00F15B33"/>
    <w:rsid w:val="00F44AC8"/>
    <w:rsid w:val="00F73457"/>
    <w:rsid w:val="00F86A20"/>
    <w:rsid w:val="00F950A7"/>
    <w:rsid w:val="00FC102F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FBAA"/>
  <w15:chartTrackingRefBased/>
  <w15:docId w15:val="{AACEA615-B8E2-432F-93C7-C7D18F61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a7c9f9ef81f530/Desktop/p1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a7c9f9ef81f530/Desktop/p1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Figure 1:</a:t>
            </a:r>
          </a:p>
          <a:p>
            <a:pPr>
              <a:defRPr b="1"/>
            </a:pPr>
            <a:r>
              <a:rPr lang="en-US" b="1"/>
              <a:t>WC WAR Summary Statistics</a:t>
            </a:r>
          </a:p>
          <a:p>
            <a:pPr>
              <a:defRPr b="1"/>
            </a:pPr>
            <a:r>
              <a:rPr lang="en-US" b="1"/>
              <a:t>Since 1980</a:t>
            </a:r>
          </a:p>
        </c:rich>
      </c:tx>
      <c:layout>
        <c:manualLayout>
          <c:xMode val="edge"/>
          <c:yMode val="edge"/>
          <c:x val="0.2597360017497812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oWAR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'wins-above-replacement'!$O$4:$O$8</c:f>
              <c:strCache>
                <c:ptCount val="5"/>
                <c:pt idx="0">
                  <c:v>mean</c:v>
                </c:pt>
                <c:pt idx="1">
                  <c:v>median</c:v>
                </c:pt>
                <c:pt idx="2">
                  <c:v>sdev</c:v>
                </c:pt>
                <c:pt idx="3">
                  <c:v>Frequency Top 5</c:v>
                </c:pt>
                <c:pt idx="4">
                  <c:v>Frequency Top Quartile</c:v>
                </c:pt>
              </c:strCache>
            </c:strRef>
          </c:cat>
          <c:val>
            <c:numRef>
              <c:f>'wins-above-replacement'!$P$4:$P$8</c:f>
              <c:numCache>
                <c:formatCode>0</c:formatCode>
                <c:ptCount val="5"/>
                <c:pt idx="0">
                  <c:v>24.797674418604654</c:v>
                </c:pt>
                <c:pt idx="1">
                  <c:v>25.2</c:v>
                </c:pt>
                <c:pt idx="2">
                  <c:v>6.5639160920064628</c:v>
                </c:pt>
                <c:pt idx="3" formatCode="General">
                  <c:v>22</c:v>
                </c:pt>
                <c:pt idx="4" formatCode="General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86-4EA2-8D16-01AFC9DEF0E4}"/>
            </c:ext>
          </c:extLst>
        </c:ser>
        <c:ser>
          <c:idx val="1"/>
          <c:order val="1"/>
          <c:tx>
            <c:v>dWAR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'wins-above-replacement'!$O$4:$O$8</c:f>
              <c:strCache>
                <c:ptCount val="5"/>
                <c:pt idx="0">
                  <c:v>mean</c:v>
                </c:pt>
                <c:pt idx="1">
                  <c:v>median</c:v>
                </c:pt>
                <c:pt idx="2">
                  <c:v>sdev</c:v>
                </c:pt>
                <c:pt idx="3">
                  <c:v>Frequency Top 5</c:v>
                </c:pt>
                <c:pt idx="4">
                  <c:v>Frequency Top Quartile</c:v>
                </c:pt>
              </c:strCache>
            </c:strRef>
          </c:cat>
          <c:val>
            <c:numRef>
              <c:f>'wins-above-replacement'!$Q$4:$Q$8</c:f>
              <c:numCache>
                <c:formatCode>0</c:formatCode>
                <c:ptCount val="5"/>
                <c:pt idx="0">
                  <c:v>1.7046511627906973</c:v>
                </c:pt>
                <c:pt idx="1">
                  <c:v>1.4</c:v>
                </c:pt>
                <c:pt idx="2">
                  <c:v>6.5639160920064628</c:v>
                </c:pt>
                <c:pt idx="3" formatCode="General">
                  <c:v>11</c:v>
                </c:pt>
                <c:pt idx="4" formatCode="General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86-4EA2-8D16-01AFC9DEF0E4}"/>
            </c:ext>
          </c:extLst>
        </c:ser>
        <c:ser>
          <c:idx val="2"/>
          <c:order val="2"/>
          <c:tx>
            <c:v>pWAR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'wins-above-replacement'!$O$4:$O$8</c:f>
              <c:strCache>
                <c:ptCount val="5"/>
                <c:pt idx="0">
                  <c:v>mean</c:v>
                </c:pt>
                <c:pt idx="1">
                  <c:v>median</c:v>
                </c:pt>
                <c:pt idx="2">
                  <c:v>sdev</c:v>
                </c:pt>
                <c:pt idx="3">
                  <c:v>Frequency Top 5</c:v>
                </c:pt>
                <c:pt idx="4">
                  <c:v>Frequency Top Quartile</c:v>
                </c:pt>
              </c:strCache>
            </c:strRef>
          </c:cat>
          <c:val>
            <c:numRef>
              <c:f>'wins-above-replacement'!$R$4:$R$8</c:f>
              <c:numCache>
                <c:formatCode>0</c:formatCode>
                <c:ptCount val="5"/>
                <c:pt idx="0">
                  <c:v>18.913953488372091</c:v>
                </c:pt>
                <c:pt idx="1">
                  <c:v>19.5</c:v>
                </c:pt>
                <c:pt idx="2">
                  <c:v>2.8397647025574977</c:v>
                </c:pt>
                <c:pt idx="3" formatCode="General">
                  <c:v>19</c:v>
                </c:pt>
                <c:pt idx="4" formatCode="General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86-4EA2-8D16-01AFC9DEF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63564160"/>
        <c:axId val="1040538192"/>
      </c:barChart>
      <c:catAx>
        <c:axId val="106356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538192"/>
        <c:crosses val="autoZero"/>
        <c:auto val="1"/>
        <c:lblAlgn val="ctr"/>
        <c:lblOffset val="100"/>
        <c:noMultiLvlLbl val="0"/>
      </c:catAx>
      <c:valAx>
        <c:axId val="104053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56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Figure 2: Offense,</a:t>
            </a:r>
            <a:r>
              <a:rPr lang="en-US" b="1" baseline="0"/>
              <a:t> Defense, Pitching WAR Ranking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oWAR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'wins-above-replacement'!$B$3:$B$45</c:f>
              <c:numCache>
                <c:formatCode>General</c:formatCode>
                <c:ptCount val="43"/>
                <c:pt idx="0">
                  <c:v>2023</c:v>
                </c:pt>
                <c:pt idx="1">
                  <c:v>2022</c:v>
                </c:pt>
                <c:pt idx="2">
                  <c:v>2021</c:v>
                </c:pt>
                <c:pt idx="3">
                  <c:v>2020</c:v>
                </c:pt>
                <c:pt idx="4">
                  <c:v>2019</c:v>
                </c:pt>
                <c:pt idx="5">
                  <c:v>2018</c:v>
                </c:pt>
                <c:pt idx="6">
                  <c:v>2017</c:v>
                </c:pt>
                <c:pt idx="7">
                  <c:v>2016</c:v>
                </c:pt>
                <c:pt idx="8">
                  <c:v>2015</c:v>
                </c:pt>
                <c:pt idx="9">
                  <c:v>2014</c:v>
                </c:pt>
                <c:pt idx="10">
                  <c:v>2013</c:v>
                </c:pt>
                <c:pt idx="11">
                  <c:v>2012</c:v>
                </c:pt>
                <c:pt idx="12">
                  <c:v>2011</c:v>
                </c:pt>
                <c:pt idx="13">
                  <c:v>2010</c:v>
                </c:pt>
                <c:pt idx="14">
                  <c:v>2009</c:v>
                </c:pt>
                <c:pt idx="15">
                  <c:v>2008</c:v>
                </c:pt>
                <c:pt idx="16">
                  <c:v>2007</c:v>
                </c:pt>
                <c:pt idx="17">
                  <c:v>2006</c:v>
                </c:pt>
                <c:pt idx="18">
                  <c:v>2005</c:v>
                </c:pt>
                <c:pt idx="19">
                  <c:v>2004</c:v>
                </c:pt>
                <c:pt idx="20">
                  <c:v>2003</c:v>
                </c:pt>
                <c:pt idx="21">
                  <c:v>2002</c:v>
                </c:pt>
                <c:pt idx="22">
                  <c:v>2001</c:v>
                </c:pt>
                <c:pt idx="23">
                  <c:v>2000</c:v>
                </c:pt>
                <c:pt idx="24">
                  <c:v>1999</c:v>
                </c:pt>
                <c:pt idx="25">
                  <c:v>1998</c:v>
                </c:pt>
                <c:pt idx="26">
                  <c:v>1997</c:v>
                </c:pt>
                <c:pt idx="27">
                  <c:v>1996</c:v>
                </c:pt>
                <c:pt idx="28">
                  <c:v>1995</c:v>
                </c:pt>
                <c:pt idx="29">
                  <c:v>1993</c:v>
                </c:pt>
                <c:pt idx="30">
                  <c:v>1992</c:v>
                </c:pt>
                <c:pt idx="31">
                  <c:v>1991</c:v>
                </c:pt>
                <c:pt idx="32">
                  <c:v>1990</c:v>
                </c:pt>
                <c:pt idx="33">
                  <c:v>1989</c:v>
                </c:pt>
                <c:pt idx="34">
                  <c:v>1988</c:v>
                </c:pt>
                <c:pt idx="35">
                  <c:v>1987</c:v>
                </c:pt>
                <c:pt idx="36">
                  <c:v>1986</c:v>
                </c:pt>
                <c:pt idx="37">
                  <c:v>1985</c:v>
                </c:pt>
                <c:pt idx="38">
                  <c:v>1984</c:v>
                </c:pt>
                <c:pt idx="39">
                  <c:v>1983</c:v>
                </c:pt>
                <c:pt idx="40">
                  <c:v>1982</c:v>
                </c:pt>
                <c:pt idx="41">
                  <c:v>1981</c:v>
                </c:pt>
                <c:pt idx="42">
                  <c:v>1980</c:v>
                </c:pt>
              </c:numCache>
            </c:numRef>
          </c:xVal>
          <c:yVal>
            <c:numRef>
              <c:f>'wins-above-replacement'!$G$3:$G$45</c:f>
              <c:numCache>
                <c:formatCode>General</c:formatCode>
                <c:ptCount val="43"/>
                <c:pt idx="0">
                  <c:v>3</c:v>
                </c:pt>
                <c:pt idx="1">
                  <c:v>7</c:v>
                </c:pt>
                <c:pt idx="2">
                  <c:v>13</c:v>
                </c:pt>
                <c:pt idx="3">
                  <c:v>1</c:v>
                </c:pt>
                <c:pt idx="4">
                  <c:v>8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13</c:v>
                </c:pt>
                <c:pt idx="9">
                  <c:v>9</c:v>
                </c:pt>
                <c:pt idx="10">
                  <c:v>1</c:v>
                </c:pt>
                <c:pt idx="11">
                  <c:v>3</c:v>
                </c:pt>
                <c:pt idx="12">
                  <c:v>4</c:v>
                </c:pt>
                <c:pt idx="13">
                  <c:v>17</c:v>
                </c:pt>
                <c:pt idx="14">
                  <c:v>1</c:v>
                </c:pt>
                <c:pt idx="15">
                  <c:v>14</c:v>
                </c:pt>
                <c:pt idx="16">
                  <c:v>4</c:v>
                </c:pt>
                <c:pt idx="17">
                  <c:v>18</c:v>
                </c:pt>
                <c:pt idx="18">
                  <c:v>21</c:v>
                </c:pt>
                <c:pt idx="19">
                  <c:v>3</c:v>
                </c:pt>
                <c:pt idx="20">
                  <c:v>12</c:v>
                </c:pt>
                <c:pt idx="21">
                  <c:v>5</c:v>
                </c:pt>
                <c:pt idx="22">
                  <c:v>20</c:v>
                </c:pt>
                <c:pt idx="23">
                  <c:v>8</c:v>
                </c:pt>
                <c:pt idx="24">
                  <c:v>5</c:v>
                </c:pt>
                <c:pt idx="25">
                  <c:v>1</c:v>
                </c:pt>
                <c:pt idx="26">
                  <c:v>14</c:v>
                </c:pt>
                <c:pt idx="27">
                  <c:v>8</c:v>
                </c:pt>
                <c:pt idx="28">
                  <c:v>21</c:v>
                </c:pt>
                <c:pt idx="29">
                  <c:v>4</c:v>
                </c:pt>
                <c:pt idx="30">
                  <c:v>3</c:v>
                </c:pt>
                <c:pt idx="31">
                  <c:v>4</c:v>
                </c:pt>
                <c:pt idx="32">
                  <c:v>16</c:v>
                </c:pt>
                <c:pt idx="33">
                  <c:v>5</c:v>
                </c:pt>
                <c:pt idx="34">
                  <c:v>16</c:v>
                </c:pt>
                <c:pt idx="35">
                  <c:v>18</c:v>
                </c:pt>
                <c:pt idx="36">
                  <c:v>1</c:v>
                </c:pt>
                <c:pt idx="37">
                  <c:v>21</c:v>
                </c:pt>
                <c:pt idx="38">
                  <c:v>1</c:v>
                </c:pt>
                <c:pt idx="39">
                  <c:v>4</c:v>
                </c:pt>
                <c:pt idx="40">
                  <c:v>11</c:v>
                </c:pt>
                <c:pt idx="41">
                  <c:v>3</c:v>
                </c:pt>
                <c:pt idx="42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8B-4E7A-8ABA-5630CA581001}"/>
            </c:ext>
          </c:extLst>
        </c:ser>
        <c:ser>
          <c:idx val="1"/>
          <c:order val="1"/>
          <c:tx>
            <c:strRef>
              <c:f>'wins-above-replacement'!$E$2</c:f>
              <c:strCache>
                <c:ptCount val="1"/>
                <c:pt idx="0">
                  <c:v>dWAR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'wins-above-replacement'!$B$3:$B$45</c:f>
              <c:numCache>
                <c:formatCode>General</c:formatCode>
                <c:ptCount val="43"/>
                <c:pt idx="0">
                  <c:v>2023</c:v>
                </c:pt>
                <c:pt idx="1">
                  <c:v>2022</c:v>
                </c:pt>
                <c:pt idx="2">
                  <c:v>2021</c:v>
                </c:pt>
                <c:pt idx="3">
                  <c:v>2020</c:v>
                </c:pt>
                <c:pt idx="4">
                  <c:v>2019</c:v>
                </c:pt>
                <c:pt idx="5">
                  <c:v>2018</c:v>
                </c:pt>
                <c:pt idx="6">
                  <c:v>2017</c:v>
                </c:pt>
                <c:pt idx="7">
                  <c:v>2016</c:v>
                </c:pt>
                <c:pt idx="8">
                  <c:v>2015</c:v>
                </c:pt>
                <c:pt idx="9">
                  <c:v>2014</c:v>
                </c:pt>
                <c:pt idx="10">
                  <c:v>2013</c:v>
                </c:pt>
                <c:pt idx="11">
                  <c:v>2012</c:v>
                </c:pt>
                <c:pt idx="12">
                  <c:v>2011</c:v>
                </c:pt>
                <c:pt idx="13">
                  <c:v>2010</c:v>
                </c:pt>
                <c:pt idx="14">
                  <c:v>2009</c:v>
                </c:pt>
                <c:pt idx="15">
                  <c:v>2008</c:v>
                </c:pt>
                <c:pt idx="16">
                  <c:v>2007</c:v>
                </c:pt>
                <c:pt idx="17">
                  <c:v>2006</c:v>
                </c:pt>
                <c:pt idx="18">
                  <c:v>2005</c:v>
                </c:pt>
                <c:pt idx="19">
                  <c:v>2004</c:v>
                </c:pt>
                <c:pt idx="20">
                  <c:v>2003</c:v>
                </c:pt>
                <c:pt idx="21">
                  <c:v>2002</c:v>
                </c:pt>
                <c:pt idx="22">
                  <c:v>2001</c:v>
                </c:pt>
                <c:pt idx="23">
                  <c:v>2000</c:v>
                </c:pt>
                <c:pt idx="24">
                  <c:v>1999</c:v>
                </c:pt>
                <c:pt idx="25">
                  <c:v>1998</c:v>
                </c:pt>
                <c:pt idx="26">
                  <c:v>1997</c:v>
                </c:pt>
                <c:pt idx="27">
                  <c:v>1996</c:v>
                </c:pt>
                <c:pt idx="28">
                  <c:v>1995</c:v>
                </c:pt>
                <c:pt idx="29">
                  <c:v>1993</c:v>
                </c:pt>
                <c:pt idx="30">
                  <c:v>1992</c:v>
                </c:pt>
                <c:pt idx="31">
                  <c:v>1991</c:v>
                </c:pt>
                <c:pt idx="32">
                  <c:v>1990</c:v>
                </c:pt>
                <c:pt idx="33">
                  <c:v>1989</c:v>
                </c:pt>
                <c:pt idx="34">
                  <c:v>1988</c:v>
                </c:pt>
                <c:pt idx="35">
                  <c:v>1987</c:v>
                </c:pt>
                <c:pt idx="36">
                  <c:v>1986</c:v>
                </c:pt>
                <c:pt idx="37">
                  <c:v>1985</c:v>
                </c:pt>
                <c:pt idx="38">
                  <c:v>1984</c:v>
                </c:pt>
                <c:pt idx="39">
                  <c:v>1983</c:v>
                </c:pt>
                <c:pt idx="40">
                  <c:v>1982</c:v>
                </c:pt>
                <c:pt idx="41">
                  <c:v>1981</c:v>
                </c:pt>
                <c:pt idx="42">
                  <c:v>1980</c:v>
                </c:pt>
              </c:numCache>
            </c:numRef>
          </c:xVal>
          <c:yVal>
            <c:numRef>
              <c:f>'wins-above-replacement'!$H$3:$H$45</c:f>
              <c:numCache>
                <c:formatCode>General</c:formatCode>
                <c:ptCount val="43"/>
                <c:pt idx="0">
                  <c:v>4</c:v>
                </c:pt>
                <c:pt idx="1">
                  <c:v>6</c:v>
                </c:pt>
                <c:pt idx="2">
                  <c:v>13</c:v>
                </c:pt>
                <c:pt idx="3">
                  <c:v>4</c:v>
                </c:pt>
                <c:pt idx="4">
                  <c:v>17</c:v>
                </c:pt>
                <c:pt idx="5">
                  <c:v>14</c:v>
                </c:pt>
                <c:pt idx="6">
                  <c:v>19</c:v>
                </c:pt>
                <c:pt idx="7">
                  <c:v>1</c:v>
                </c:pt>
                <c:pt idx="8">
                  <c:v>2</c:v>
                </c:pt>
                <c:pt idx="9">
                  <c:v>21</c:v>
                </c:pt>
                <c:pt idx="10">
                  <c:v>4</c:v>
                </c:pt>
                <c:pt idx="11">
                  <c:v>12</c:v>
                </c:pt>
                <c:pt idx="12">
                  <c:v>22</c:v>
                </c:pt>
                <c:pt idx="13">
                  <c:v>9</c:v>
                </c:pt>
                <c:pt idx="14">
                  <c:v>2</c:v>
                </c:pt>
                <c:pt idx="15">
                  <c:v>1</c:v>
                </c:pt>
                <c:pt idx="16">
                  <c:v>13</c:v>
                </c:pt>
                <c:pt idx="17">
                  <c:v>3</c:v>
                </c:pt>
                <c:pt idx="18">
                  <c:v>8</c:v>
                </c:pt>
                <c:pt idx="19">
                  <c:v>16</c:v>
                </c:pt>
                <c:pt idx="20">
                  <c:v>20</c:v>
                </c:pt>
                <c:pt idx="21">
                  <c:v>1</c:v>
                </c:pt>
                <c:pt idx="22">
                  <c:v>6</c:v>
                </c:pt>
                <c:pt idx="23">
                  <c:v>23</c:v>
                </c:pt>
                <c:pt idx="24">
                  <c:v>23</c:v>
                </c:pt>
                <c:pt idx="25">
                  <c:v>8</c:v>
                </c:pt>
                <c:pt idx="26">
                  <c:v>20</c:v>
                </c:pt>
                <c:pt idx="27">
                  <c:v>21</c:v>
                </c:pt>
                <c:pt idx="28">
                  <c:v>22</c:v>
                </c:pt>
                <c:pt idx="29">
                  <c:v>15</c:v>
                </c:pt>
                <c:pt idx="30">
                  <c:v>4</c:v>
                </c:pt>
                <c:pt idx="31">
                  <c:v>6</c:v>
                </c:pt>
                <c:pt idx="32">
                  <c:v>12</c:v>
                </c:pt>
                <c:pt idx="33">
                  <c:v>7</c:v>
                </c:pt>
                <c:pt idx="34">
                  <c:v>11</c:v>
                </c:pt>
                <c:pt idx="35">
                  <c:v>10</c:v>
                </c:pt>
                <c:pt idx="36">
                  <c:v>9</c:v>
                </c:pt>
                <c:pt idx="37">
                  <c:v>15</c:v>
                </c:pt>
                <c:pt idx="38">
                  <c:v>6</c:v>
                </c:pt>
                <c:pt idx="39">
                  <c:v>12</c:v>
                </c:pt>
                <c:pt idx="40">
                  <c:v>2</c:v>
                </c:pt>
                <c:pt idx="41">
                  <c:v>10</c:v>
                </c:pt>
                <c:pt idx="42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8B-4E7A-8ABA-5630CA581001}"/>
            </c:ext>
          </c:extLst>
        </c:ser>
        <c:ser>
          <c:idx val="2"/>
          <c:order val="2"/>
          <c:tx>
            <c:v>pWAR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'wins-above-replacement'!$B$3:$B$45</c:f>
              <c:numCache>
                <c:formatCode>General</c:formatCode>
                <c:ptCount val="43"/>
                <c:pt idx="0">
                  <c:v>2023</c:v>
                </c:pt>
                <c:pt idx="1">
                  <c:v>2022</c:v>
                </c:pt>
                <c:pt idx="2">
                  <c:v>2021</c:v>
                </c:pt>
                <c:pt idx="3">
                  <c:v>2020</c:v>
                </c:pt>
                <c:pt idx="4">
                  <c:v>2019</c:v>
                </c:pt>
                <c:pt idx="5">
                  <c:v>2018</c:v>
                </c:pt>
                <c:pt idx="6">
                  <c:v>2017</c:v>
                </c:pt>
                <c:pt idx="7">
                  <c:v>2016</c:v>
                </c:pt>
                <c:pt idx="8">
                  <c:v>2015</c:v>
                </c:pt>
                <c:pt idx="9">
                  <c:v>2014</c:v>
                </c:pt>
                <c:pt idx="10">
                  <c:v>2013</c:v>
                </c:pt>
                <c:pt idx="11">
                  <c:v>2012</c:v>
                </c:pt>
                <c:pt idx="12">
                  <c:v>2011</c:v>
                </c:pt>
                <c:pt idx="13">
                  <c:v>2010</c:v>
                </c:pt>
                <c:pt idx="14">
                  <c:v>2009</c:v>
                </c:pt>
                <c:pt idx="15">
                  <c:v>2008</c:v>
                </c:pt>
                <c:pt idx="16">
                  <c:v>2007</c:v>
                </c:pt>
                <c:pt idx="17">
                  <c:v>2006</c:v>
                </c:pt>
                <c:pt idx="18">
                  <c:v>2005</c:v>
                </c:pt>
                <c:pt idx="19">
                  <c:v>2004</c:v>
                </c:pt>
                <c:pt idx="20">
                  <c:v>2003</c:v>
                </c:pt>
                <c:pt idx="21">
                  <c:v>2002</c:v>
                </c:pt>
                <c:pt idx="22">
                  <c:v>2001</c:v>
                </c:pt>
                <c:pt idx="23">
                  <c:v>2000</c:v>
                </c:pt>
                <c:pt idx="24">
                  <c:v>1999</c:v>
                </c:pt>
                <c:pt idx="25">
                  <c:v>1998</c:v>
                </c:pt>
                <c:pt idx="26">
                  <c:v>1997</c:v>
                </c:pt>
                <c:pt idx="27">
                  <c:v>1996</c:v>
                </c:pt>
                <c:pt idx="28">
                  <c:v>1995</c:v>
                </c:pt>
                <c:pt idx="29">
                  <c:v>1993</c:v>
                </c:pt>
                <c:pt idx="30">
                  <c:v>1992</c:v>
                </c:pt>
                <c:pt idx="31">
                  <c:v>1991</c:v>
                </c:pt>
                <c:pt idx="32">
                  <c:v>1990</c:v>
                </c:pt>
                <c:pt idx="33">
                  <c:v>1989</c:v>
                </c:pt>
                <c:pt idx="34">
                  <c:v>1988</c:v>
                </c:pt>
                <c:pt idx="35">
                  <c:v>1987</c:v>
                </c:pt>
                <c:pt idx="36">
                  <c:v>1986</c:v>
                </c:pt>
                <c:pt idx="37">
                  <c:v>1985</c:v>
                </c:pt>
                <c:pt idx="38">
                  <c:v>1984</c:v>
                </c:pt>
                <c:pt idx="39">
                  <c:v>1983</c:v>
                </c:pt>
                <c:pt idx="40">
                  <c:v>1982</c:v>
                </c:pt>
                <c:pt idx="41">
                  <c:v>1981</c:v>
                </c:pt>
                <c:pt idx="42">
                  <c:v>1980</c:v>
                </c:pt>
              </c:numCache>
            </c:numRef>
          </c:xVal>
          <c:yVal>
            <c:numRef>
              <c:f>'wins-above-replacement'!$I$3:$I$45</c:f>
              <c:numCache>
                <c:formatCode>General</c:formatCode>
                <c:ptCount val="43"/>
                <c:pt idx="0">
                  <c:v>19</c:v>
                </c:pt>
                <c:pt idx="1">
                  <c:v>2</c:v>
                </c:pt>
                <c:pt idx="2">
                  <c:v>8</c:v>
                </c:pt>
                <c:pt idx="3">
                  <c:v>3</c:v>
                </c:pt>
                <c:pt idx="4">
                  <c:v>7</c:v>
                </c:pt>
                <c:pt idx="5">
                  <c:v>2</c:v>
                </c:pt>
                <c:pt idx="6">
                  <c:v>14</c:v>
                </c:pt>
                <c:pt idx="7">
                  <c:v>2</c:v>
                </c:pt>
                <c:pt idx="8">
                  <c:v>7</c:v>
                </c:pt>
                <c:pt idx="9">
                  <c:v>21</c:v>
                </c:pt>
                <c:pt idx="10">
                  <c:v>14</c:v>
                </c:pt>
                <c:pt idx="11">
                  <c:v>22</c:v>
                </c:pt>
                <c:pt idx="12">
                  <c:v>23</c:v>
                </c:pt>
                <c:pt idx="13">
                  <c:v>4</c:v>
                </c:pt>
                <c:pt idx="14">
                  <c:v>6</c:v>
                </c:pt>
                <c:pt idx="15">
                  <c:v>16</c:v>
                </c:pt>
                <c:pt idx="16">
                  <c:v>1</c:v>
                </c:pt>
                <c:pt idx="17">
                  <c:v>26</c:v>
                </c:pt>
                <c:pt idx="18">
                  <c:v>1</c:v>
                </c:pt>
                <c:pt idx="19">
                  <c:v>4</c:v>
                </c:pt>
                <c:pt idx="20">
                  <c:v>9</c:v>
                </c:pt>
                <c:pt idx="21">
                  <c:v>8</c:v>
                </c:pt>
                <c:pt idx="22">
                  <c:v>1</c:v>
                </c:pt>
                <c:pt idx="23">
                  <c:v>8</c:v>
                </c:pt>
                <c:pt idx="24">
                  <c:v>1</c:v>
                </c:pt>
                <c:pt idx="25">
                  <c:v>5</c:v>
                </c:pt>
                <c:pt idx="26">
                  <c:v>8</c:v>
                </c:pt>
                <c:pt idx="27">
                  <c:v>2</c:v>
                </c:pt>
                <c:pt idx="28">
                  <c:v>2</c:v>
                </c:pt>
                <c:pt idx="29">
                  <c:v>10</c:v>
                </c:pt>
                <c:pt idx="30">
                  <c:v>13</c:v>
                </c:pt>
                <c:pt idx="31">
                  <c:v>6</c:v>
                </c:pt>
                <c:pt idx="32">
                  <c:v>2</c:v>
                </c:pt>
                <c:pt idx="33">
                  <c:v>6</c:v>
                </c:pt>
                <c:pt idx="34">
                  <c:v>4</c:v>
                </c:pt>
                <c:pt idx="35">
                  <c:v>16</c:v>
                </c:pt>
                <c:pt idx="36">
                  <c:v>2</c:v>
                </c:pt>
                <c:pt idx="37">
                  <c:v>1</c:v>
                </c:pt>
                <c:pt idx="38">
                  <c:v>9</c:v>
                </c:pt>
                <c:pt idx="39">
                  <c:v>7</c:v>
                </c:pt>
                <c:pt idx="40">
                  <c:v>19</c:v>
                </c:pt>
                <c:pt idx="41">
                  <c:v>2</c:v>
                </c:pt>
                <c:pt idx="4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F8B-4E7A-8ABA-5630CA581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2498224"/>
        <c:axId val="962527696"/>
      </c:scatterChart>
      <c:valAx>
        <c:axId val="1122498224"/>
        <c:scaling>
          <c:orientation val="minMax"/>
          <c:max val="2023"/>
          <c:min val="198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>
                  <a:outerShdw blurRad="50800" dist="50800" dir="5400000" sx="1000" sy="1000" algn="ctr" rotWithShape="0">
                    <a:srgbClr val="000000">
                      <a:alpha val="43137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527696"/>
        <c:crosses val="max"/>
        <c:crossBetween val="midCat"/>
        <c:majorUnit val="10"/>
        <c:minorUnit val="5"/>
      </c:valAx>
      <c:valAx>
        <c:axId val="962527696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WAR Ranking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498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Piddington</dc:creator>
  <cp:keywords/>
  <dc:description/>
  <cp:lastModifiedBy>Timothy Piddington</cp:lastModifiedBy>
  <cp:revision>76</cp:revision>
  <dcterms:created xsi:type="dcterms:W3CDTF">2023-12-12T12:13:00Z</dcterms:created>
  <dcterms:modified xsi:type="dcterms:W3CDTF">2023-12-12T15:17:00Z</dcterms:modified>
</cp:coreProperties>
</file>