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66" w:rsidRDefault="00AC4266" w:rsidP="00AC4266">
      <w:pPr>
        <w:pStyle w:val="Title"/>
        <w:jc w:val="center"/>
      </w:pPr>
      <w:bookmarkStart w:id="0" w:name="_GoBack"/>
      <w:bookmarkEnd w:id="0"/>
    </w:p>
    <w:p w:rsidR="00AC4266" w:rsidRDefault="00AC4266" w:rsidP="00AC4266">
      <w:pPr>
        <w:pStyle w:val="Title"/>
        <w:jc w:val="center"/>
      </w:pPr>
    </w:p>
    <w:p w:rsidR="00AC4266" w:rsidRDefault="00AC4266" w:rsidP="00AC4266">
      <w:pPr>
        <w:pStyle w:val="Title"/>
        <w:jc w:val="center"/>
      </w:pPr>
    </w:p>
    <w:p w:rsidR="00AC4266" w:rsidRDefault="00743980" w:rsidP="00AC4266">
      <w:pPr>
        <w:pStyle w:val="Title"/>
        <w:jc w:val="center"/>
      </w:pPr>
      <w:r w:rsidRPr="006D58DD">
        <w:rPr>
          <w:b/>
        </w:rPr>
        <w:t>Exploring</w:t>
      </w:r>
      <w:r w:rsidR="00AC4266" w:rsidRPr="006D58DD">
        <w:rPr>
          <w:b/>
        </w:rPr>
        <w:t xml:space="preserve"> Tools for Foreign Policy Analysis</w:t>
      </w:r>
      <w:r w:rsidR="00AC4266">
        <w:t>:</w:t>
      </w:r>
    </w:p>
    <w:p w:rsidR="00AC4266" w:rsidRPr="006D58DD" w:rsidRDefault="00DD4913" w:rsidP="00AC4266">
      <w:pPr>
        <w:pStyle w:val="Title"/>
        <w:jc w:val="center"/>
        <w:rPr>
          <w:sz w:val="44"/>
        </w:rPr>
      </w:pPr>
      <w:r w:rsidRPr="006D58DD">
        <w:rPr>
          <w:sz w:val="44"/>
        </w:rPr>
        <w:t>An</w:t>
      </w:r>
      <w:r w:rsidR="00AC4266" w:rsidRPr="006D58DD">
        <w:rPr>
          <w:sz w:val="44"/>
        </w:rPr>
        <w:t xml:space="preserve"> Agent Based Model to Asses</w:t>
      </w:r>
      <w:r w:rsidR="00496D1D" w:rsidRPr="006D58DD">
        <w:rPr>
          <w:sz w:val="44"/>
        </w:rPr>
        <w:t>s</w:t>
      </w:r>
      <w:r w:rsidR="00AC4266" w:rsidRPr="006D58DD">
        <w:rPr>
          <w:sz w:val="44"/>
        </w:rPr>
        <w:t xml:space="preserve"> the Impact of Foreign Aid on Coalition Formation in Libya</w:t>
      </w:r>
    </w:p>
    <w:p w:rsidR="00AC4266" w:rsidRDefault="00AC4266" w:rsidP="00AC4266"/>
    <w:p w:rsidR="00AC4266" w:rsidRDefault="00AC4266" w:rsidP="00AC4266">
      <w:pPr>
        <w:jc w:val="center"/>
      </w:pPr>
      <w:r>
        <w:t>By Tom Pike</w:t>
      </w:r>
      <w:r w:rsidR="00496D1D">
        <w:t xml:space="preserve">, </w:t>
      </w:r>
      <w:proofErr w:type="spellStart"/>
      <w:r w:rsidR="00496D1D">
        <w:t>LTC</w:t>
      </w:r>
      <w:proofErr w:type="spellEnd"/>
      <w:r w:rsidR="00496D1D">
        <w:t>, USA</w:t>
      </w:r>
    </w:p>
    <w:p w:rsidR="00AC4266" w:rsidRDefault="00AC4266" w:rsidP="00AC4266">
      <w:pPr>
        <w:jc w:val="center"/>
      </w:pPr>
      <w:r>
        <w:rPr>
          <w:b/>
        </w:rPr>
        <w:t xml:space="preserve">Abstract: </w:t>
      </w:r>
      <w:r w:rsidR="00496D1D">
        <w:t xml:space="preserve">The last 16 years of conflict have shown numerous </w:t>
      </w:r>
      <w:r w:rsidR="006D58DD">
        <w:t>shortcomings of</w:t>
      </w:r>
      <w:r w:rsidR="00496D1D">
        <w:t xml:space="preserve"> the United States’ approach to foreign policy. The general failure to unambiguously achieve desired outcomes indicates </w:t>
      </w:r>
      <w:r w:rsidR="00496D1D" w:rsidRPr="00496D1D">
        <w:t>t</w:t>
      </w:r>
      <w:r w:rsidRPr="00496D1D">
        <w:t xml:space="preserve">he U.S. Government requires new </w:t>
      </w:r>
      <w:r w:rsidR="006D58DD">
        <w:t xml:space="preserve">approaches </w:t>
      </w:r>
      <w:r w:rsidR="002B649F">
        <w:t xml:space="preserve">and tools </w:t>
      </w:r>
      <w:r w:rsidR="00496D1D" w:rsidRPr="00496D1D">
        <w:t xml:space="preserve">to </w:t>
      </w:r>
      <w:r w:rsidR="00496D1D">
        <w:t xml:space="preserve">analyze foreign populations and </w:t>
      </w:r>
      <w:r w:rsidR="006D58DD">
        <w:t>implement</w:t>
      </w:r>
      <w:r w:rsidR="00496D1D">
        <w:t xml:space="preserve"> more effective </w:t>
      </w:r>
      <w:r w:rsidR="006D58DD">
        <w:t xml:space="preserve">foreign </w:t>
      </w:r>
      <w:r w:rsidR="00496D1D">
        <w:t>policy</w:t>
      </w:r>
      <w:r w:rsidRPr="00496D1D">
        <w:t>. To this end, this research develops an Agent Based Model</w:t>
      </w:r>
      <w:r w:rsidR="006D58DD">
        <w:t xml:space="preserve"> (ABM)</w:t>
      </w:r>
      <w:r w:rsidRPr="00496D1D">
        <w:t xml:space="preserve"> for coalition formation and then employs it using a qualitative assessment of Libyan groups. </w:t>
      </w:r>
      <w:r w:rsidR="00BF5D12" w:rsidRPr="00496D1D">
        <w:t>The model successfully reproduces known coalitions</w:t>
      </w:r>
      <w:r w:rsidR="006D58DD">
        <w:t xml:space="preserve"> </w:t>
      </w:r>
      <w:r w:rsidR="00BF5D12" w:rsidRPr="00496D1D">
        <w:t xml:space="preserve">and shows general agreement with the impact of foreign aid based on experiences in Afghanistan. These results provide evidence to support the further exploration of ABMs as </w:t>
      </w:r>
      <w:r w:rsidR="00496D1D" w:rsidRPr="00496D1D">
        <w:t xml:space="preserve">scalable </w:t>
      </w:r>
      <w:r w:rsidR="00BF5D12" w:rsidRPr="00496D1D">
        <w:t>computational analytic tool</w:t>
      </w:r>
      <w:r w:rsidR="00496D1D" w:rsidRPr="00496D1D">
        <w:t>s</w:t>
      </w:r>
      <w:r w:rsidR="00BF5D12" w:rsidRPr="00496D1D">
        <w:t xml:space="preserve"> which </w:t>
      </w:r>
      <w:r w:rsidR="00496D1D" w:rsidRPr="00496D1D">
        <w:t xml:space="preserve">can improve </w:t>
      </w:r>
      <w:r w:rsidR="00BF5D12" w:rsidRPr="00496D1D">
        <w:t>both analys</w:t>
      </w:r>
      <w:r w:rsidR="00496D1D" w:rsidRPr="00496D1D">
        <w:t>i</w:t>
      </w:r>
      <w:r w:rsidR="00BF5D12" w:rsidRPr="00496D1D">
        <w:t xml:space="preserve">s and </w:t>
      </w:r>
      <w:r w:rsidR="006D58DD">
        <w:t xml:space="preserve">policy </w:t>
      </w:r>
      <w:r w:rsidR="00496D1D" w:rsidRPr="00496D1D">
        <w:t>exploration</w:t>
      </w:r>
      <w:r w:rsidR="00BF5D12" w:rsidRPr="00496D1D">
        <w:t xml:space="preserve"> </w:t>
      </w:r>
      <w:r w:rsidR="002B649F">
        <w:t xml:space="preserve">and formulation </w:t>
      </w:r>
      <w:r w:rsidR="00BF5D12" w:rsidRPr="00496D1D">
        <w:t>across the U.S. Government</w:t>
      </w:r>
      <w:r w:rsidR="00496D1D" w:rsidRPr="00496D1D">
        <w:t>.</w:t>
      </w:r>
      <w:r w:rsidR="00496D1D">
        <w:t xml:space="preserve"> </w:t>
      </w:r>
    </w:p>
    <w:p w:rsidR="00496D1D" w:rsidRPr="00AC4266" w:rsidRDefault="00496D1D" w:rsidP="00496D1D">
      <w:pPr>
        <w:jc w:val="center"/>
        <w:rPr>
          <w:b/>
        </w:rPr>
      </w:pPr>
      <w:r w:rsidRPr="00496D1D">
        <w:rPr>
          <w:i/>
        </w:rPr>
        <w:t>The views in this paper are purely those of the author and do not reflect the views of the U.S. Government, Department of Def</w:t>
      </w:r>
      <w:r>
        <w:rPr>
          <w:i/>
        </w:rPr>
        <w:t>e</w:t>
      </w:r>
      <w:r w:rsidRPr="00496D1D">
        <w:rPr>
          <w:i/>
        </w:rPr>
        <w:t>nse or U.S. Army</w:t>
      </w:r>
      <w:r>
        <w:t xml:space="preserve">. </w:t>
      </w:r>
    </w:p>
    <w:p w:rsidR="00AC4266" w:rsidRDefault="00AC4266" w:rsidP="00AC4266">
      <w:pPr>
        <w:pStyle w:val="Title"/>
        <w:jc w:val="center"/>
        <w:rPr>
          <w:color w:val="2F5496" w:themeColor="accent1" w:themeShade="BF"/>
          <w:sz w:val="32"/>
          <w:szCs w:val="32"/>
        </w:rPr>
      </w:pPr>
      <w:r>
        <w:br w:type="page"/>
      </w:r>
    </w:p>
    <w:p w:rsidR="00116F7E" w:rsidRDefault="00116F7E" w:rsidP="00116F7E">
      <w:pPr>
        <w:pStyle w:val="Heading1"/>
        <w:spacing w:before="0" w:line="480" w:lineRule="auto"/>
      </w:pPr>
      <w:r w:rsidRPr="00116F7E">
        <w:lastRenderedPageBreak/>
        <w:t>1.</w:t>
      </w:r>
      <w:r>
        <w:t xml:space="preserve"> Introduction</w:t>
      </w:r>
      <w:r>
        <w:tab/>
      </w:r>
    </w:p>
    <w:p w:rsidR="00A9120C" w:rsidRDefault="00116F7E" w:rsidP="00116F7E">
      <w:pPr>
        <w:spacing w:after="0" w:line="480" w:lineRule="auto"/>
      </w:pPr>
      <w:r>
        <w:tab/>
        <w:t>For the last 16 years the U.S. has been involved in conflict. The U.S. has spent trillions of dollars and used extensive military resources f</w:t>
      </w:r>
      <w:r w:rsidR="00A9120C">
        <w:t>r</w:t>
      </w:r>
      <w:r>
        <w:t>om foreign support to direct intervention</w:t>
      </w:r>
      <w:r w:rsidR="00A9120C">
        <w:t xml:space="preserve"> to influence the behavior of foreign populations</w:t>
      </w:r>
      <w:r>
        <w:t>. This expenditure</w:t>
      </w:r>
      <w:r w:rsidR="00A9120C">
        <w:t xml:space="preserve"> has not or did not produce a clear victory in either Afghanistan or Iraq. My research is an attempt to find new ways to analyze foreign populations and the U.S. impact on the dynamics of those foreign populations. The following research represents an initial effort </w:t>
      </w:r>
      <w:r w:rsidR="00DD4913">
        <w:t>for that purpose</w:t>
      </w:r>
      <w:r w:rsidR="00A9120C">
        <w:t xml:space="preserve">. </w:t>
      </w:r>
    </w:p>
    <w:p w:rsidR="00A9120C" w:rsidRDefault="00A9120C" w:rsidP="00116F7E">
      <w:pPr>
        <w:spacing w:after="0" w:line="480" w:lineRule="auto"/>
      </w:pPr>
      <w:r>
        <w:tab/>
      </w:r>
      <w:r w:rsidR="006942F2">
        <w:t xml:space="preserve">The tool I explore is </w:t>
      </w:r>
      <w:r>
        <w:t>Agent Based Models (ABMs)</w:t>
      </w:r>
      <w:r w:rsidR="006942F2">
        <w:t>. ABMs</w:t>
      </w:r>
      <w:r>
        <w:t xml:space="preserve"> represent a powerful tool which can allow analysts to grow </w:t>
      </w:r>
      <w:r>
        <w:rPr>
          <w:i/>
        </w:rPr>
        <w:t xml:space="preserve">in silico </w:t>
      </w:r>
      <w:r>
        <w:t xml:space="preserve">their foreign population of interest and allow staffs and decision makers to manipulate those models to develop a better understanding of the impact of their policies. ABMs are no panacea to produce miraculous foreign interventions or correct results, instead they </w:t>
      </w:r>
      <w:r w:rsidR="006942F2">
        <w:t>are</w:t>
      </w:r>
      <w:r>
        <w:t xml:space="preserve"> computational enhancements to </w:t>
      </w:r>
      <w:r w:rsidR="00DD4913">
        <w:t xml:space="preserve">aid </w:t>
      </w:r>
      <w:r>
        <w:t xml:space="preserve">analysts and decision makers </w:t>
      </w:r>
      <w:r w:rsidR="00DD4913">
        <w:t xml:space="preserve">to </w:t>
      </w:r>
      <w:r w:rsidR="006942F2">
        <w:t xml:space="preserve">help them explore complex phenomenon more effectively </w:t>
      </w:r>
      <w:r w:rsidR="006942F2">
        <w:fldChar w:fldCharType="begin" w:fldLock="1"/>
      </w:r>
      <w:r w:rsidR="006942F2">
        <w:instrText>ADDIN CSL_CITATION { "citationItems" : [ { "id" : "ITEM-1", "itemData" : { "DOI" : "10.1016/j.cep.2007.02.029", "ISBN" : "17", "ISSN" : "02552701", "PMID" : "849", "abstract" : "The many motivations for employing agent-based computation in the social sciences are reviewed. It is argued that there exist three distinct uses of agent modeling techniques. One such use \u2014 the simplest \u2014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 distinct usage of such models.", "author" : [ { "dropping-particle" : "", "family" : "Axtell", "given" : "Robert", "non-dropping-particle" : "", "parse-names" : false, "suffix" : "" } ], "container-title" : "Center on Social and Economics Dynamics - The Brookings Institution", "id" : "ITEM-1", "issue" : "17", "issued" : { "date-parts" : [ [ "2000" ] ] }, "page" : "1-23", "title" : "Why agents?: on the varied motivations for agent computing in the social sciences", "type" : "article-journal" }, "uris" : [ "http://www.mendeley.com/documents/?uuid=b3b61db9-96da-42cd-a0cf-ab9c8fc1150d" ] }, { "id" : "ITEM-2", "itemData" : { "DOI" : "10.1002/(SICI)1099-0526(199905/06)4:5&lt;41::AID-CPLX9&gt;3.3.CO;2-6", "ISBN" : "9780387257464", "ISSN" : "1076-2787", "PMID" : "8910118402246030848", "abstract" : "This article argues that the agent-based computational model permits a distinctive approach to social science for which the term \u201cgenerative\u201d is suitable. In defending this terminology, features distinguishing the approach from both \u201cinductive\u201d and \u201cdeductive\u201d science are given. Then, the following specific contributions to social science are discussed: The agent-based computational model is a new tool for empirical research. It offers a natural environment for the study of connectionist phenomena in social science. Agent-based modeling provides a powerful way to address certain enduring\u2014and especially interdisciplinary\u2014questions. It allows one to subject certain core theories\u2014such as neoclassical microeconomics\u2014to important types of stress (e.g., the effect of evolving preferences). It permits one to study how rules of individual behavior give rise\u2014or \u201cmap up\u201d\u2014to macroscopic regularities and organizations. In turn, one can employ laboratory behavioral research findings to select among competing agent-based (\u201cbottom up\u201d) models. The agent-based approach may well have the important effect of decoupling individual rationality from macroscopic equilibrium and of separating decision science from social science more generally. Agent-based modeling offers powerful new forms of hybrid theoretical- computational work; these are particularly relevant to the study of non-equilibrium systems. The agentbased approach invites the interpretation of society as a distributed computational device, and in turn the interpretation of social dynamics as a type of computation. This interpretation raises important foundational issues in social science\u2014some related to intractability, and some to undecidability proper. Finally, since \u201cemergence\u201d figures prominently in this literature, I take up the connection between agent-based modeling and classical emergentism, criticizing the latter and arguing that the two are incompatible.", "author" : [ { "dropping-particle" : "", "family" : "Epstein", "given" : "Joshua M", "non-dropping-particle" : "", "parse-names" : false, "suffix" : "" } ], "container-title" : "Complexity", "id" : "ITEM-2", "issue" : "5", "issued" : { "date-parts" : [ [ "1999" ] ] }, "page" : "41-60", "title" : "Agent-based computational models and generative social science", "type" : "article-journal", "volume" : "4" }, "uris" : [ "http://www.mendeley.com/documents/?uuid=3447151e-f84b-4b91-831b-4ac599b5245a" ] }, { "id" : "ITEM-3", "itemData" : { "DOI" : "10.1017/CBO9781107415324.004", "ISBN" : "0691125473", "ISSN" : "1098-6596", "PMID" : "25246403", "abstract" : "Agent-based computational modeling is changing the face of social science. In Generative Social Science, Joshua Epstein argues that this powerful, novel technique permits the social sciences to meet a fundamentally new standard of explanation, in which one \"grows\" the phenomenon of interest in an artificial society of interacting agents: heterogeneous, boundedly rational actors, represented as mathematical or software objects. After elaborating this notion of generative explanation in a pair of overarching foundational chapters, Epstein illustrates it with examples chosen from such far-flung fields as archaeology, civil conflict, the evolution of norms, epidemiology, retirement economics, spatial games, and organizational adaptation. In elegant chapter preludes, he explains how these widely diverse modeling studies support his sweeping case for generative explanation. This book represents a powerful consolidation of Epstein's interdisciplinary research activities in the decade since the publication of his and Robert Axtell's landmark volume, Growing Artificial Societies. Beautifully illustrated, Generative Social Science includes a CD that contains animated movies of core model runs, and programs allowing users to easily change assumptions and explore models, making it an invaluable text for courses in modeling at all levels.", "author" : [ { "dropping-particle" : "", "family" : "Epstein", "given" : "Joshua M", "non-dropping-particle" : "", "parse-names" : false, "suffix" : "" } ], "container-title" : "Generative Social Sciences", "id" : "ITEM-3", "issued" : { "date-parts" : [ [ "2006" ] ] }, "number-of-pages" : "356", "title" : "Generative Social Science: Studies in Agent-Based Computational Modeling", "type" : "book" }, "uris" : [ "http://www.mendeley.com/documents/?uuid=5c4160b7-79cd-4838-b0b7-a857b7709762" ] } ], "mendeley" : { "formattedCitation" : "(R. Axtell 2000; Epstein 1999; Epstein 2006)", "manualFormatting" : "(R. Axtell 2000; Epstein 2006)", "plainTextFormattedCitation" : "(R. Axtell 2000; Epstein 1999; Epstein 2006)", "previouslyFormattedCitation" : "(R. Axtell 2000; Epstein 1999; Epstein 2006)" }, "properties" : { "noteIndex" : 0 }, "schema" : "https://github.com/citation-style-language/schema/raw/master/csl-citation.json" }</w:instrText>
      </w:r>
      <w:r w:rsidR="006942F2">
        <w:fldChar w:fldCharType="separate"/>
      </w:r>
      <w:r w:rsidR="006942F2" w:rsidRPr="006942F2">
        <w:rPr>
          <w:noProof/>
        </w:rPr>
        <w:t>(R. Axtell 2000; Epstein 2006)</w:t>
      </w:r>
      <w:r w:rsidR="006942F2">
        <w:fldChar w:fldCharType="end"/>
      </w:r>
      <w:r w:rsidR="006942F2">
        <w:t xml:space="preserve">. </w:t>
      </w:r>
    </w:p>
    <w:p w:rsidR="006942F2" w:rsidRDefault="006942F2" w:rsidP="00116F7E">
      <w:pPr>
        <w:spacing w:after="0" w:line="480" w:lineRule="auto"/>
      </w:pPr>
      <w:r>
        <w:tab/>
        <w:t xml:space="preserve">The topic I explore is coalition formation in Libya. I chose Libya because it is an ongoing civil conflict of strategic importance. The choice of </w:t>
      </w:r>
      <w:r w:rsidR="00DD4913">
        <w:t xml:space="preserve">a </w:t>
      </w:r>
      <w:r>
        <w:t xml:space="preserve">contemporary conflict provides insights into the challenges of getting an accurate understanding of local dynamics due to sparse research </w:t>
      </w:r>
      <w:r w:rsidR="00DD4913">
        <w:t>and data</w:t>
      </w:r>
      <w:r>
        <w:t xml:space="preserve">. </w:t>
      </w:r>
    </w:p>
    <w:p w:rsidR="006942F2" w:rsidRDefault="006942F2" w:rsidP="00116F7E">
      <w:pPr>
        <w:spacing w:after="0" w:line="480" w:lineRule="auto"/>
      </w:pPr>
      <w:r>
        <w:tab/>
      </w:r>
      <w:r w:rsidR="005F1F4D">
        <w:t xml:space="preserve">There is substantial literature surrounding ABMs, the Libyan conflict and more generally political science and even political science with the use of ABMs. </w:t>
      </w:r>
      <w:r>
        <w:t>Although there is a lot of research</w:t>
      </w:r>
      <w:r w:rsidR="005F1F4D">
        <w:t xml:space="preserve"> in these areas</w:t>
      </w:r>
      <w:r>
        <w:t>, I was unable to find any research which used ABMs or other simulatio</w:t>
      </w:r>
      <w:r w:rsidR="005F1F4D">
        <w:t xml:space="preserve">ns to study Libya. </w:t>
      </w:r>
    </w:p>
    <w:p w:rsidR="005F1F4D" w:rsidRDefault="005F1F4D" w:rsidP="00116F7E">
      <w:pPr>
        <w:spacing w:after="0" w:line="480" w:lineRule="auto"/>
      </w:pPr>
      <w:r>
        <w:tab/>
        <w:t xml:space="preserve">Exploring new tools to understand the impact of U.S. actions on foreign populations which are accessible across all levels of government is essential to improve the results the U.S. seeks in conflicts overseas. To this end, I developed an ABM which assesses coalition formation based on analytic inputs and conducted a qualitative assessment of Libya. I then inputted this assessment into the model to see if </w:t>
      </w:r>
      <w:r w:rsidR="00AC4266">
        <w:t xml:space="preserve">I </w:t>
      </w:r>
      <w:r>
        <w:t>could replicate known coalitions in Libya and the</w:t>
      </w:r>
      <w:r w:rsidR="00AC4266">
        <w:t>n</w:t>
      </w:r>
      <w:r>
        <w:t xml:space="preserve"> simulated </w:t>
      </w:r>
      <w:r w:rsidR="00AC4266">
        <w:t xml:space="preserve">the impact of substantial foreign support </w:t>
      </w:r>
      <w:r w:rsidR="00AC4266">
        <w:lastRenderedPageBreak/>
        <w:t xml:space="preserve">to one group and then many groups. The result was </w:t>
      </w:r>
      <w:r w:rsidR="00DD4913">
        <w:t xml:space="preserve">synthetic </w:t>
      </w:r>
      <w:r w:rsidR="00AC4266">
        <w:t xml:space="preserve">coalitions which agreed with known Libyan coalitions as well as general agreement with experiences in Afghanistan on the impact of foreign aid on a group’s decision to form </w:t>
      </w:r>
      <w:r w:rsidR="00DD4913">
        <w:t>coalitions</w:t>
      </w:r>
      <w:r w:rsidR="00AC4266">
        <w:t xml:space="preserve"> or compromise on its position. These results demonstrate that ABMs are a tool w</w:t>
      </w:r>
      <w:r w:rsidR="00DD4913">
        <w:t>orth</w:t>
      </w:r>
      <w:r w:rsidR="00AC4266">
        <w:t xml:space="preserve"> pursuing in finding new and innovative ways to improve U.S. foreign policy</w:t>
      </w:r>
      <w:r w:rsidR="00DD4913">
        <w:t xml:space="preserve"> development and implementation</w:t>
      </w:r>
      <w:proofErr w:type="gramStart"/>
      <w:r w:rsidR="00AC4266">
        <w:t xml:space="preserve">.  </w:t>
      </w:r>
      <w:proofErr w:type="gramEnd"/>
      <w:r>
        <w:t xml:space="preserve">   </w:t>
      </w:r>
    </w:p>
    <w:p w:rsidR="00116F7E" w:rsidRPr="00116F7E" w:rsidRDefault="00A9120C" w:rsidP="00116F7E">
      <w:pPr>
        <w:spacing w:after="0" w:line="480" w:lineRule="auto"/>
      </w:pPr>
      <w:r>
        <w:tab/>
      </w:r>
      <w:r w:rsidR="00116F7E">
        <w:t xml:space="preserve"> </w:t>
      </w:r>
    </w:p>
    <w:p w:rsidR="009E5DBD" w:rsidRDefault="009E5DBD" w:rsidP="009F7A3B">
      <w:pPr>
        <w:pStyle w:val="Heading1"/>
        <w:spacing w:before="0" w:line="480" w:lineRule="auto"/>
      </w:pPr>
      <w:r>
        <w:t>2. Method of Analysis</w:t>
      </w:r>
    </w:p>
    <w:p w:rsidR="00947907" w:rsidRDefault="00F74497" w:rsidP="00942016">
      <w:pPr>
        <w:spacing w:after="0" w:line="480" w:lineRule="auto"/>
      </w:pPr>
      <w:r>
        <w:t xml:space="preserve"> </w:t>
      </w:r>
      <w:r>
        <w:tab/>
        <w:t xml:space="preserve">I used two methods for assessing the impact of foreign </w:t>
      </w:r>
      <w:r w:rsidR="00942016">
        <w:t>aid in the forms of economic and military support to Libya. The first was to develop a qualitative assessment of major groups</w:t>
      </w:r>
      <w:r w:rsidR="00947907">
        <w:t xml:space="preserve">, their affinity (which can also </w:t>
      </w:r>
      <w:proofErr w:type="gramStart"/>
      <w:r w:rsidR="00947907">
        <w:t>be understood</w:t>
      </w:r>
      <w:proofErr w:type="gramEnd"/>
      <w:r w:rsidR="00947907">
        <w:t xml:space="preserve"> as ideology), their</w:t>
      </w:r>
      <w:r w:rsidR="00942016">
        <w:t xml:space="preserve"> economic resources and </w:t>
      </w:r>
      <w:r w:rsidR="00947907">
        <w:t xml:space="preserve">their </w:t>
      </w:r>
      <w:r w:rsidR="00942016">
        <w:t>military capability. The second was the instantiation of this assessment into an agent based model</w:t>
      </w:r>
      <w:r w:rsidR="00947907">
        <w:t xml:space="preserve"> (ABM)</w:t>
      </w:r>
      <w:r w:rsidR="00942016">
        <w:t xml:space="preserve">, where each group was an agent. The agents then determined their optimal </w:t>
      </w:r>
      <w:r w:rsidR="00604B0A">
        <w:t>coalition</w:t>
      </w:r>
      <w:r w:rsidR="00942016">
        <w:t xml:space="preserve"> formation using the bilateral </w:t>
      </w:r>
      <w:r w:rsidR="00170C2D">
        <w:t>Shapley</w:t>
      </w:r>
      <w:r w:rsidR="00942016">
        <w:t xml:space="preserve"> value as the agents’ decision algorithm </w:t>
      </w:r>
      <w:r w:rsidR="00942016">
        <w:fldChar w:fldCharType="begin" w:fldLock="1"/>
      </w:r>
      <w:r w:rsidR="00BF3958">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"mendeley" : { "formattedCitation" : "(Ketchpel 1995)", "plainTextFormattedCitation" : "(Ketchpel 1995)", "previouslyFormattedCitation" : "(Ketchpel 1995)" }, "properties" : { "noteIndex" : 0 }, "schema" : "https://github.com/citation-style-language/schema/raw/master/csl-citation.json" }</w:instrText>
      </w:r>
      <w:r w:rsidR="00942016">
        <w:fldChar w:fldCharType="separate"/>
      </w:r>
      <w:r w:rsidR="00942016" w:rsidRPr="00942016">
        <w:rPr>
          <w:noProof/>
        </w:rPr>
        <w:t>(Ketchpel 1995)</w:t>
      </w:r>
      <w:r w:rsidR="00942016">
        <w:fldChar w:fldCharType="end"/>
      </w:r>
      <w:r w:rsidR="00942016">
        <w:t xml:space="preserve">.   </w:t>
      </w:r>
      <w:r w:rsidR="00947907">
        <w:t xml:space="preserve">I programmed the ABM using Python 3.6. The use of the ABM with a well-known game theoretic algorithm at its core allowed for a way to test the accuracy of the qualitative assessment of a complex </w:t>
      </w:r>
      <w:r w:rsidR="00DD4913">
        <w:t xml:space="preserve">situation in </w:t>
      </w:r>
      <w:r w:rsidR="00947907">
        <w:t xml:space="preserve">a data sparse region against known phenomenon. The intent of this </w:t>
      </w:r>
      <w:r w:rsidR="00DD4913">
        <w:t>process</w:t>
      </w:r>
      <w:r w:rsidR="00947907">
        <w:t xml:space="preserve"> was to develop a computational aid to foreign policy analysts and decision makers who must make decisions with limited information. The model itself can take the qualitative assessment of any foreign population</w:t>
      </w:r>
      <w:r w:rsidR="00DD4913">
        <w:t xml:space="preserve"> at multiple scales</w:t>
      </w:r>
      <w:r w:rsidR="00111202">
        <w:t xml:space="preserve">. Due to this capability, it </w:t>
      </w:r>
      <w:r w:rsidR="00947907">
        <w:t xml:space="preserve">produces two types of results. First, results which are specific to the </w:t>
      </w:r>
      <w:r w:rsidR="00604B0A">
        <w:t>coalition</w:t>
      </w:r>
      <w:r w:rsidR="00947907">
        <w:t xml:space="preserve"> formations of Libya. Second, generalizable results which </w:t>
      </w:r>
      <w:proofErr w:type="gramStart"/>
      <w:r w:rsidR="00947907">
        <w:t>are based</w:t>
      </w:r>
      <w:proofErr w:type="gramEnd"/>
      <w:r w:rsidR="00947907">
        <w:t xml:space="preserve"> the model dynamics. </w:t>
      </w:r>
    </w:p>
    <w:p w:rsidR="00111202" w:rsidRDefault="00111202" w:rsidP="00111202">
      <w:pPr>
        <w:pStyle w:val="Subtitle"/>
      </w:pPr>
      <w:r>
        <w:t>2.</w:t>
      </w:r>
      <w:r w:rsidR="006C3F5F">
        <w:t>2</w:t>
      </w:r>
      <w:r>
        <w:t xml:space="preserve"> Qualitative Assessment of Libya</w:t>
      </w:r>
    </w:p>
    <w:p w:rsidR="00A41646" w:rsidRDefault="00111202" w:rsidP="00AE401F">
      <w:pPr>
        <w:spacing w:after="0" w:line="480" w:lineRule="auto"/>
      </w:pPr>
      <w:r>
        <w:tab/>
      </w:r>
      <w:r w:rsidR="000B604F">
        <w:t>A ba</w:t>
      </w:r>
      <w:r w:rsidR="006C3F5F">
        <w:t>si</w:t>
      </w:r>
      <w:r w:rsidR="000B604F">
        <w:t xml:space="preserve">c historical background </w:t>
      </w:r>
      <w:r w:rsidR="00DD4913">
        <w:t xml:space="preserve">of Libya’s civil war </w:t>
      </w:r>
      <w:r w:rsidR="000B604F">
        <w:t xml:space="preserve">is necessary to understand </w:t>
      </w:r>
      <w:r w:rsidR="00DD4913">
        <w:t xml:space="preserve">the qualitative assessment of </w:t>
      </w:r>
      <w:r w:rsidR="000B604F">
        <w:t>Libya</w:t>
      </w:r>
      <w:r w:rsidR="00DD4913">
        <w:t>’s</w:t>
      </w:r>
      <w:r w:rsidR="000B604F">
        <w:t xml:space="preserve"> groups</w:t>
      </w:r>
      <w:r w:rsidR="00DD4913">
        <w:t>.</w:t>
      </w:r>
      <w:r w:rsidR="006C3F5F">
        <w:t xml:space="preserve"> The Arab Spring spread to Libya </w:t>
      </w:r>
      <w:r w:rsidR="000B604F">
        <w:t xml:space="preserve">in February 2011 </w:t>
      </w:r>
      <w:r w:rsidR="006C3F5F">
        <w:t xml:space="preserve">resulting in </w:t>
      </w:r>
      <w:r w:rsidR="002C6E43">
        <w:t>a revolt against Gaddafi’s government which had been in place since 1969</w:t>
      </w:r>
      <w:r w:rsidR="000B604F">
        <w:t xml:space="preserve">. Gaddafi began violently suppressing </w:t>
      </w:r>
      <w:r w:rsidR="000B604F">
        <w:lastRenderedPageBreak/>
        <w:t xml:space="preserve">the uprising. In March 2011, the United Nations voted for a no-fly zone over Libya to protect civilians. The North Atlantic Treaty Organization executed the no-fly zone </w:t>
      </w:r>
      <w:r w:rsidR="002C6E43">
        <w:t>tipping</w:t>
      </w:r>
      <w:r w:rsidR="000B604F">
        <w:t xml:space="preserve"> the balance of power against Gaddafi</w:t>
      </w:r>
      <w:r w:rsidR="002C6E43">
        <w:t>’s security apparatuses</w:t>
      </w:r>
      <w:r w:rsidR="000B604F">
        <w:t xml:space="preserve">. </w:t>
      </w:r>
      <w:r w:rsidR="002C6E43">
        <w:t xml:space="preserve">By </w:t>
      </w:r>
      <w:r w:rsidR="000B604F">
        <w:t>August 2011</w:t>
      </w:r>
      <w:r w:rsidR="002C6E43">
        <w:t xml:space="preserve"> Gaddafi’s rule was effectively over as</w:t>
      </w:r>
      <w:r w:rsidR="000B604F">
        <w:t xml:space="preserve"> the General National Congress </w:t>
      </w:r>
      <w:r w:rsidR="002C6E43">
        <w:t>(</w:t>
      </w:r>
      <w:proofErr w:type="spellStart"/>
      <w:r w:rsidR="002C6E43">
        <w:t>GNC</w:t>
      </w:r>
      <w:proofErr w:type="spellEnd"/>
      <w:r w:rsidR="002C6E43">
        <w:t xml:space="preserve">) took control of the government from the National Transition Council. </w:t>
      </w:r>
      <w:r w:rsidR="00DD4913">
        <w:t xml:space="preserve">On </w:t>
      </w:r>
      <w:r w:rsidR="000B604F">
        <w:t xml:space="preserve">October 20, 2011 </w:t>
      </w:r>
      <w:r w:rsidR="002C6E43">
        <w:t xml:space="preserve">Gaddafi </w:t>
      </w:r>
      <w:proofErr w:type="gramStart"/>
      <w:r w:rsidR="002C6E43">
        <w:t>was captured</w:t>
      </w:r>
      <w:proofErr w:type="gramEnd"/>
      <w:r w:rsidR="002C6E43">
        <w:t xml:space="preserve"> and then killed. Libya continued to make the rough transition to a new form of government, which erupted in a second phase of civil war beginning in 2014. Elections in June 2014 resulted in a defeat from Islamist dominated </w:t>
      </w:r>
      <w:proofErr w:type="spellStart"/>
      <w:r w:rsidR="002C6E43">
        <w:t>GNC</w:t>
      </w:r>
      <w:proofErr w:type="spellEnd"/>
      <w:r w:rsidR="002C6E43">
        <w:t>, who refused to step down. The elected House of Representatives (</w:t>
      </w:r>
      <w:proofErr w:type="spellStart"/>
      <w:r w:rsidR="002C6E43">
        <w:t>HoR</w:t>
      </w:r>
      <w:proofErr w:type="spellEnd"/>
      <w:r w:rsidR="002C6E43">
        <w:t xml:space="preserve">) tried to assume control of the government resulting in conflict between these two groups. </w:t>
      </w:r>
      <w:r w:rsidR="00A41646">
        <w:t>In addition,</w:t>
      </w:r>
      <w:r w:rsidR="002C6E43">
        <w:t xml:space="preserve"> Islamic Extremists such as Al-Qaeda and the </w:t>
      </w:r>
      <w:r w:rsidR="00A41646">
        <w:t xml:space="preserve">Islamic State had taken or took control of the cities of Sirte, Benghazi and </w:t>
      </w:r>
      <w:proofErr w:type="spellStart"/>
      <w:r w:rsidR="00A41646">
        <w:t>Derna</w:t>
      </w:r>
      <w:proofErr w:type="spellEnd"/>
      <w:r w:rsidR="00A41646">
        <w:t xml:space="preserve">. Through the resulting conflict the </w:t>
      </w:r>
      <w:proofErr w:type="spellStart"/>
      <w:r w:rsidR="00A41646">
        <w:t>HoR</w:t>
      </w:r>
      <w:proofErr w:type="spellEnd"/>
      <w:r w:rsidR="00A41646">
        <w:t xml:space="preserve"> fled Tripoli to </w:t>
      </w:r>
      <w:proofErr w:type="spellStart"/>
      <w:r w:rsidR="00A41646">
        <w:t>Tobruk</w:t>
      </w:r>
      <w:proofErr w:type="spellEnd"/>
      <w:r w:rsidR="00A41646">
        <w:t xml:space="preserve">. In </w:t>
      </w:r>
      <w:proofErr w:type="spellStart"/>
      <w:r w:rsidR="00A41646">
        <w:t>Janaury</w:t>
      </w:r>
      <w:proofErr w:type="spellEnd"/>
      <w:r w:rsidR="00A41646">
        <w:t xml:space="preserve"> 2016, the United Nations tried to broker a peace agreement which produced the Government of National Accord (</w:t>
      </w:r>
      <w:proofErr w:type="spellStart"/>
      <w:r w:rsidR="00A41646">
        <w:t>GNA</w:t>
      </w:r>
      <w:proofErr w:type="spellEnd"/>
      <w:r w:rsidR="00A41646">
        <w:t xml:space="preserve">). The </w:t>
      </w:r>
      <w:proofErr w:type="spellStart"/>
      <w:r w:rsidR="00A41646">
        <w:t>HoR</w:t>
      </w:r>
      <w:proofErr w:type="spellEnd"/>
      <w:r w:rsidR="00A41646">
        <w:t xml:space="preserve"> and </w:t>
      </w:r>
      <w:proofErr w:type="spellStart"/>
      <w:r w:rsidR="00A41646">
        <w:t>GNC</w:t>
      </w:r>
      <w:proofErr w:type="spellEnd"/>
      <w:r w:rsidR="00A41646">
        <w:t xml:space="preserve"> do not recognize this new government although the international community recognizes it as the official government of Libya (see timeline figure 1). Since 2016 the </w:t>
      </w:r>
      <w:proofErr w:type="spellStart"/>
      <w:r w:rsidR="00A41646">
        <w:t>HoR</w:t>
      </w:r>
      <w:proofErr w:type="spellEnd"/>
      <w:r w:rsidR="00A41646">
        <w:t xml:space="preserve">, allied with General </w:t>
      </w:r>
      <w:proofErr w:type="spellStart"/>
      <w:r w:rsidR="00A41646">
        <w:t>Haftar</w:t>
      </w:r>
      <w:proofErr w:type="spellEnd"/>
      <w:r w:rsidR="00A41646">
        <w:t xml:space="preserve"> who commands the Libyan National Army (</w:t>
      </w:r>
      <w:proofErr w:type="spellStart"/>
      <w:r w:rsidR="00A41646">
        <w:t>LNA</w:t>
      </w:r>
      <w:proofErr w:type="spellEnd"/>
      <w:r w:rsidR="00A41646">
        <w:t xml:space="preserve">), has made steady progress eastward from </w:t>
      </w:r>
      <w:proofErr w:type="spellStart"/>
      <w:r w:rsidR="00A41646">
        <w:t>Tobruk</w:t>
      </w:r>
      <w:proofErr w:type="spellEnd"/>
      <w:r w:rsidR="00A41646">
        <w:t xml:space="preserve"> fighting extremists in Benghazi and </w:t>
      </w:r>
      <w:proofErr w:type="spellStart"/>
      <w:r w:rsidR="00A41646">
        <w:t>Derna</w:t>
      </w:r>
      <w:proofErr w:type="spellEnd"/>
      <w:r w:rsidR="00A41646">
        <w:t xml:space="preserve"> as well as securing the major oil revenue pipelines. The </w:t>
      </w:r>
      <w:proofErr w:type="spellStart"/>
      <w:r w:rsidR="00A41646">
        <w:t>LNA</w:t>
      </w:r>
      <w:proofErr w:type="spellEnd"/>
      <w:r w:rsidR="00A41646">
        <w:t xml:space="preserve"> </w:t>
      </w:r>
      <w:proofErr w:type="gramStart"/>
      <w:r w:rsidR="00A41646">
        <w:t>is stopped</w:t>
      </w:r>
      <w:proofErr w:type="gramEnd"/>
      <w:r w:rsidR="00A41646">
        <w:t xml:space="preserve"> outside of Sirte, and major push into Sirte would signify the beginning of a conflict between the </w:t>
      </w:r>
      <w:proofErr w:type="spellStart"/>
      <w:r w:rsidR="00A41646">
        <w:t>LNA</w:t>
      </w:r>
      <w:proofErr w:type="spellEnd"/>
      <w:r w:rsidR="00A41646">
        <w:t xml:space="preserve"> and the </w:t>
      </w:r>
      <w:r w:rsidR="00BF3958">
        <w:t xml:space="preserve">powerful </w:t>
      </w:r>
      <w:proofErr w:type="spellStart"/>
      <w:r w:rsidR="00BF3958">
        <w:t>Misratan</w:t>
      </w:r>
      <w:proofErr w:type="spellEnd"/>
      <w:r w:rsidR="00BF3958">
        <w:t xml:space="preserve"> militias who seized Sirte from extremists in late 2016. </w:t>
      </w:r>
    </w:p>
    <w:p w:rsidR="00A41646" w:rsidRDefault="00A41646" w:rsidP="00AE401F">
      <w:pPr>
        <w:spacing w:after="0" w:line="480" w:lineRule="auto"/>
      </w:pPr>
      <w:r>
        <w:rPr>
          <w:noProof/>
        </w:rPr>
        <w:lastRenderedPageBreak/>
        <w:drawing>
          <wp:inline distT="0" distB="0" distL="0" distR="0" wp14:anchorId="3667B44E" wp14:editId="437CDBD1">
            <wp:extent cx="5943600" cy="295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ya time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5290"/>
                    </a:xfrm>
                    <a:prstGeom prst="rect">
                      <a:avLst/>
                    </a:prstGeom>
                    <a:ln>
                      <a:noFill/>
                    </a:ln>
                  </pic:spPr>
                </pic:pic>
              </a:graphicData>
            </a:graphic>
          </wp:inline>
        </w:drawing>
      </w:r>
    </w:p>
    <w:p w:rsidR="006C3F5F" w:rsidRDefault="00A41646" w:rsidP="00AE401F">
      <w:pPr>
        <w:spacing w:after="0" w:line="480" w:lineRule="auto"/>
      </w:pPr>
      <w:r w:rsidRPr="00A41646">
        <w:rPr>
          <w:b/>
        </w:rPr>
        <w:t>Figure 1</w:t>
      </w:r>
      <w:r>
        <w:t xml:space="preserve">: Timeline of events in Libya since 2011 </w:t>
      </w:r>
      <w:r w:rsidR="002C6E43">
        <w:t xml:space="preserve">   </w:t>
      </w:r>
    </w:p>
    <w:p w:rsidR="0007190B" w:rsidRDefault="00BF3958" w:rsidP="00AE401F">
      <w:pPr>
        <w:spacing w:after="0" w:line="480" w:lineRule="auto"/>
      </w:pPr>
      <w:r>
        <w:tab/>
        <w:t xml:space="preserve">Although the previous description produces a succinct narrative of Libyan events, it like the following ABM is a simplistic model of reality. At the local level civil war is known to be a highly fluid situation of changing </w:t>
      </w:r>
      <w:r w:rsidR="00604B0A">
        <w:t>coalition</w:t>
      </w:r>
      <w:r>
        <w:t xml:space="preserve">s and local fights leveraging the warring factions for their own ends </w:t>
      </w:r>
      <w:r>
        <w:fldChar w:fldCharType="begin" w:fldLock="1"/>
      </w:r>
      <w:r w:rsidR="00896090">
        <w:instrText>ADDIN CSL_CITATION { "citationItems" : [ { "id" : "ITEM-1", "itemData" : { "ISBN" : "978-0-521-67004-3", "author" : [ { "dropping-particle" : "", "family" : "Kalyvas", "given" : "Stathis N.", "non-dropping-particle" : "", "parse-names" : false, "suffix" : "" } ], "id" : "ITEM-1", "issued" : { "date-parts" : [ [ "2006" ] ] }, "publisher" : "Cambridge University Press", "publisher-place" : "New York", "title" : "The Logic of Violence in Civil War", "type" : "book" }, "uris" : [ "http://www.mendeley.com/documents/?uuid=5579276b-05b4-406f-9785-f8dcd3073d70" ] } ], "mendeley" : { "formattedCitation" : "(Kalyvas 2006)", "plainTextFormattedCitation" : "(Kalyvas 2006)", "previouslyFormattedCitation" : "(Kalyvas 2006)" }, "properties" : { "noteIndex" : 0 }, "schema" : "https://github.com/citation-style-language/schema/raw/master/csl-citation.json" }</w:instrText>
      </w:r>
      <w:r>
        <w:fldChar w:fldCharType="separate"/>
      </w:r>
      <w:r w:rsidRPr="00BF3958">
        <w:rPr>
          <w:noProof/>
        </w:rPr>
        <w:t>(Kalyvas 2006)</w:t>
      </w:r>
      <w:r>
        <w:fldChar w:fldCharType="end"/>
      </w:r>
      <w:r>
        <w:t>. To try and model these dynamics I first assessed the heterogeneity of the population. Libya has approximately 140 tribes</w:t>
      </w:r>
      <w:r w:rsidR="00896090">
        <w:t xml:space="preserve"> and although Gaddafi tried eliminate the tribes as a part of Libyan identity they still offer a fair representation of the different views of Libyan society </w:t>
      </w:r>
      <w:r w:rsidR="00896090">
        <w:fldChar w:fldCharType="begin" w:fldLock="1"/>
      </w:r>
      <w:r w:rsidR="0007190B">
        <w:instrText>ADDIN CSL_CITATION { "citationItems" : [ { "id" : "ITEM-1", "itemData" : { "URL" : "http://www.cetri.be/Libyan-Tribal-Map-Network-of?lang=fr", "accessed" : { "date-parts" : [ [ "2017", "7", "26" ] ] }, "author" : [ { "dropping-particle" : "", "family" : "Hatitah", "given" : "Abdulsattar", "non-dropping-particle" : "", "parse-names" : false, "suffix" : "" }, { "dropping-particle" : "", "family" : "Al-Awsat", "given" : "Asharq", "non-dropping-particle" : "", "parse-names" : false, "suffix" : "" } ], "container-title" : "Le Sud En Movement", "id" : "ITEM-1", "issued" : { "date-parts" : [ [ "2011" ] ] }, "title" : "Libyan Tribal Map : Network of loyalties that will determine Gaddafi\u2019s (...) - CETRI, Centre Tricontinental", "type" : "webpage" }, "uris" : [ "http://www.mendeley.com/documents/?uuid=c535c1f3-232a-3680-b2f5-f72c6a6f78ab" ] }, { "id" : "ITEM-2", "itemData" : { "abstract" : "conducting observational research, focus group discussions, and in-depth interviews with civilians, National Transitional Council (NTC) members, militia leaders, youth and civil society groups, tribal leaders, and Islamists. From June 2011 Manal Omar has been conducting regular visits to Libya to make strategic assessments and implement U.S. Institute of Peace (USIP) programs, during which she has engaged with civil society organizations and activists, NTC members, and international organizations and players. About the AuthoRs Susanne Tarkowski Tempelhof is the founder and president of Shabakat Corporation, an international research and communications firm. In the past, she has carried out research and communications work in Sweden, France, China, Brazil, United Arab Emirates, Egypt, Afghanistan, and Pakistan. Manal Omar is the director of Iraq, Iran, and North Africa Programs under USIP's Center for Conflict Management. Previously, she was regional program manager for the Middle East for Oxfam\u2013Great Britain, where she responded to humanitarian 2301 Constitution Ave., NW \u2022 Washington, DC 20037 \u2022 202.457.1700 \u2022 fax 202.429.6063 speciAl RepoRt 300 JAnuARy 2012", "author" : [ { "dropping-particle" : "", "family" : "Tempelhof", "given" : "Tarkowski Susanne", "non-dropping-particle" : "", "parse-names" : false, "suffix" : "" }, { "dropping-particle" : "", "family" : "Omar", "given" : "Manal", "non-dropping-particle" : "", "parse-names" : false, "suffix" : "" } ], "id" : "ITEM-2", "issued" : { "date-parts" : [ [ "2012" ] ] }, "note" : "NULL", "page" : "1-16", "title" : "Special Report: Stakeholders of Libya's February 17 Revolution", "type" : "article-journal" }, "uris" : [ "http://www.mendeley.com/documents/?uuid=cabb1350-9a89-4e90-936d-fabe7b288276" ] }, { "id" : "ITEM-3", "itemData" : { "DOI" : "10.1016/j.jaa.2012.03.007", "ISBN" : "0278-4165", "ISSN" : "02784165", "abstract" : "This paper argues for the importance of complex market exchange in the Maya area prior to the so-called Postclassic \"mercantile\" period. We suggest that market exchange was foundational to the stability of Classic era polities, and by extension, that it was of key strategic interest to dynasts and their retinues. We reject some of the prevailing dualistic views that the economic activities of royal courts or noble houses were disconnected from the vast majority of production and exchange activities deemed essential for the daily life of supporting populations with the sole exception of tribute payments. Alternatively, we postulate the accessibility and interchangeability of most products through market place commerce, as is well-documented for the Postclassic Period. Correlates of well developed market exchange that are tracked in our analysis include occupational specialization, surplus production, household and community interdependency, and ease of access to valuable goods. We compare these patterns across elite and commoner contexts at Classic Period Tikal to those of Postclassic Period Mayap??n. The assemblages at Mayap??n provide comparative indices from a city known historically to have had an important regional market exchange system. Similar patterns at Tikal strongly suggest time depth for market exchange, as well as a more complex market system than the solar central place (administered) model that has been most often invoked to characterize Classic Maya market organization. ?? 2012.", "author" : [ { "dropping-particle" : "", "family" : "Masson", "given" : "Marilyn A.", "non-dropping-particle" : "", "parse-names" : false, "suffix" : "" }, { "dropping-particle" : "", "family" : "Freidel", "given" : "David A.", "non-dropping-particle" : "", "parse-names" : false, "suffix" : "" } ], "container-title" : "Journal of Anthropological Archaeology", "id" : "ITEM-3", "issue" : "4", "issued" : { "date-parts" : [ [ "2012" ] ] }, "page" : "455-484", "publisher" : "Elsevier Inc.", "title" : "An argument for Classic era Maya market exchange", "type" : "article-journal", "volume" : "31" }, "uris" : [ "http://www.mendeley.com/documents/?uuid=690af9cd-a2dd-45ee-9da6-15ade9baafee" ] }, { "id" : "ITEM-4", "itemData" : { "DOI" : "10.1080/09592318.2016.1208794", "ISSN" : "0959-2318", "author" : [ { "dropping-particle" : "", "family" : "Eriksson", "given" : "Mikael", "non-dropping-particle" : "", "parse-names" : false, "suffix" : "" } ], "container-title" : "Small Wars &amp; Insurgencies", "id" : "ITEM-4", "issue" : "5", "issued" : { "date-parts" : [ [ "2016" ] ] }, "page" : "817-836", "publisher" : "Routledge", "title" : "A Fratricidal Libya: Making Sense of a Conflict Complex", "type" : "article-journal", "volume" : "27" }, "uris" : [ "http://www.mendeley.com/documents/?uuid=7560e678-a46c-405c-b395-6ec22685e6c5" ] } ], "mendeley" : { "formattedCitation" : "(Hatitah and Al-Awsat 2011; Tempelhof and Omar 2012; Masson and Freidel 2012; Eriksson 2016)", "plainTextFormattedCitation" : "(Hatitah and Al-Awsat 2011; Tempelhof and Omar 2012; Masson and Freidel 2012; Eriksson 2016)", "previouslyFormattedCitation" : "(Hatitah and Al-Awsat 2011; Tempelhof and Omar 2012; Masson and Freidel 2012; Eriksson 2016)" }, "properties" : { "noteIndex" : 0 }, "schema" : "https://github.com/citation-style-language/schema/raw/master/csl-citation.json" }</w:instrText>
      </w:r>
      <w:r w:rsidR="00896090">
        <w:fldChar w:fldCharType="separate"/>
      </w:r>
      <w:r w:rsidR="00896090" w:rsidRPr="00896090">
        <w:rPr>
          <w:noProof/>
        </w:rPr>
        <w:t>(Hatitah and Al-Awsat 2011; Tempelhof and Omar 2012; Masson and Freidel 2012; Eriksson 2016)</w:t>
      </w:r>
      <w:r w:rsidR="00896090">
        <w:fldChar w:fldCharType="end"/>
      </w:r>
      <w:r w:rsidR="00896090">
        <w:t xml:space="preserve">. </w:t>
      </w:r>
      <w:r w:rsidR="006C3F5F">
        <w:t xml:space="preserve">A literature review produced no comprehensive study of Libyan </w:t>
      </w:r>
      <w:r w:rsidR="00DD4913">
        <w:t>tribes</w:t>
      </w:r>
      <w:r w:rsidR="00896090">
        <w:t>. I therefore pieced together a list of 12</w:t>
      </w:r>
      <w:r w:rsidR="006C5502">
        <w:t>8</w:t>
      </w:r>
      <w:r w:rsidR="00896090">
        <w:t xml:space="preserve"> tribes and groups through a variety of sources. Detailed information </w:t>
      </w:r>
      <w:r w:rsidR="00DD4913">
        <w:t xml:space="preserve">of </w:t>
      </w:r>
      <w:r w:rsidR="00896090">
        <w:t>all the tribes w</w:t>
      </w:r>
      <w:r w:rsidR="00DD4913">
        <w:t>as</w:t>
      </w:r>
      <w:r w:rsidR="00896090">
        <w:t xml:space="preserve"> lacking, however there were several studies which described local dynamics in different places </w:t>
      </w:r>
      <w:r w:rsidR="00DD4913">
        <w:t>throughout</w:t>
      </w:r>
      <w:r w:rsidR="00896090">
        <w:t xml:space="preserve"> Libya which allowed for a qualitative assessment of these tribes</w:t>
      </w:r>
      <w:r w:rsidR="0007190B">
        <w:t xml:space="preserve"> </w:t>
      </w:r>
      <w:r w:rsidR="0007190B">
        <w:fldChar w:fldCharType="begin" w:fldLock="1"/>
      </w:r>
      <w:r w:rsidR="0038208B">
        <w:instrText>ADDIN CSL_CITATION { "citationItems" : [ { "id" : "ITEM-1", "itemData" : { "DOI" : "10.1111/j.1475-4967.2011.00516.x", "ISBN" : "1475-4967", "ISSN" : "10611924", "author" : [ { "dropping-particle" : "", "family" : "Lacher", "given" : "Wolfram", "non-dropping-particle" : "", "parse-names" : false, "suffix" : "" } ], "container-title" : "Middle East Policy", "id" : "ITEM-1", "issue" : "4", "issued" : { "date-parts" : [ [ "2011" ] ] }, "page" : "140-154", "title" : "Families, Tribes and Cities in the Libyan Revolution", "type" : "article-journal", "volume" : "18" }, "uris" : [ "http://www.mendeley.com/documents/?uuid=69e614b2-dfcc-4b75-968c-1e1b5da71fec" ] }, { "id" : "ITEM-2", "itemData" : { "abstract" : "Introduction In Libya there are very few truly national actors. The vast majority are local players, some of whom are relevant at the national level while representing the interests of their region, or in most cases, their city. Many important actors, particularly outside of the largest cities, also have tribal allegiances.", "author" : [ { "dropping-particle" : "", "family" : "Fitzgerald", "given" : "Mary ( European Foreign Relations Council)", "non-dropping-particle" : "", "parse-names" : false, "suffix" : "" } ], "id" : "ITEM-2", "issued" : { "date-parts" : [ [ "2015" ] ] }, "title" : "A Quick Guide To Libya\u2019s Main Players", "type" : "article-journal" }, "uris" : [ "http://www.mendeley.com/documents/?uuid=69fcadc3-b4d7-4af5-9d41-dc58aa800330" ] }, { "id" : "ITEM-3", "itemData" : { "DOI" : "10.1080/09592318.2016.1208794", "ISSN" : "0959-2318", "author" : [ { "dropping-particle" : "", "family" : "Eriksson", "given" : "Mikael", "non-dropping-particle" : "", "parse-names" : false, "suffix" : "" } ], "container-title" : "Small Wars &amp; Insurgencies", "id" : "ITEM-3", "issue" : "5", "issued" : { "date-parts" : [ [ "2016" ] ] }, "page" : "817-836", "publisher" : "Routledge", "title" : "A Fratricidal Libya: Making Sense of a Conflict Complex", "type" : "article-journal", "volume" : "27" }, "uris" : [ "http://www.mendeley.com/documents/?uuid=7560e678-a46c-405c-b395-6ec22685e6c5" ] }, { "id" : "ITEM-4", "itemData" : { "DOI" : "10.1080/13629387.2015.1075307", "ISBN" : "9780190210960", "ISSN" : "1362-9387", "author" : [ { "dropping-particle" : "", "family" : "Boduszy\u0144ski", "given" : "Mieczys\u0142aw P.", "non-dropping-particle" : "", "parse-names" : false, "suffix" : "" } ], "container-title" : "The Journal of North African Studies", "id" : "ITEM-4", "issue" : "5", "issued" : { "date-parts" : [ [ "2015" ] ] }, "page" : "898-900", "title" : "The Libyan revolution and its aftermath / The 2011 Libyan uprisings and the struggle for the post-Qadhafi future", "type" : "article-journal", "volume" : "20" }, "uris" : [ "http://www.mendeley.com/documents/?uuid=23507561-293b-46e6-82ae-c5d0b249686a" ] }, { "id" : "ITEM-5", "itemData" : { "ISBN" : "9781601276124", "author" : [ { "dropping-particle" : "", "family" : "Cole", "given" : "Peter", "non-dropping-particle" : "", "parse-names" : false, "suffix" : "" }, { "dropping-particle" : "", "family" : "Mangan", "given" : "Fiona", "non-dropping-particle" : "", "parse-names" : false, "suffix" : "" } ], "id" : "ITEM-5", "issued" : { "date-parts" : [ [ "2016" ] ] }, "publisher-place" : "Washington D.C.", "title" : "TRIBE, SECURITY, JUSTICE, AND PEACE LIBYA IN LIBYA TODAY", "type" : "report" }, "uris" : [ "http://www.mendeley.com/documents/?uuid=f92e6446-0021-4a93-8b60-e04091ede8df" ] }, { "id" : "ITEM-6", "itemData" : { "editor" : [ { "dropping-particle" : "", "family" : "Cole", "given" : "Peter", "non-dropping-particle" : "", "parse-names" : false, "suffix" : "" }, { "dropping-particle" : "", "family" : "McQuinn", "given" : "Brian", "non-dropping-particle" : "", "parse-names" : false, "suffix" : "" } ], "id" : "ITEM-6", "issued" : { "date-parts" : [ [ "2015" ] ] }, "publisher" : "Oxford University Press", "publisher-place" : "Oxford", "title" : "The Libyan Revolution and its Aftermath", "type" : "book" }, "uris" : [ "http://www.mendeley.com/documents/?uuid=8bb28995-c51c-477f-98bd-be738ea67236" ] } ], "mendeley" : { "formattedCitation" : "(Lacher 2011; Fitzgerald 2015; Eriksson 2016; Boduszy\u0144ski 2015; Cole and Mangan 2016; Cole and McQuinn 2015)", "plainTextFormattedCitation" : "(Lacher 2011; Fitzgerald 2015; Eriksson 2016; Boduszy\u0144ski 2015; Cole and Mangan 2016; Cole and McQuinn 2015)", "previouslyFormattedCitation" : "(Lacher 2011; Fitzgerald 2015; Eriksson 2016; Boduszy\u0144ski 2015; Cole and Mangan 2016; Cole and McQuinn 2015)" }, "properties" : { "noteIndex" : 0 }, "schema" : "https://github.com/citation-style-language/schema/raw/master/csl-citation.json" }</w:instrText>
      </w:r>
      <w:r w:rsidR="0007190B">
        <w:fldChar w:fldCharType="separate"/>
      </w:r>
      <w:r w:rsidR="0007190B" w:rsidRPr="0007190B">
        <w:rPr>
          <w:noProof/>
        </w:rPr>
        <w:t>(Lacher 2011; Fitzgerald 2015; Eriksson 2016; Boduszyński 2015; Cole and Mangan 2016; Cole and McQuinn 2015)</w:t>
      </w:r>
      <w:r w:rsidR="0007190B">
        <w:fldChar w:fldCharType="end"/>
      </w:r>
      <w:r w:rsidR="00896090">
        <w:t xml:space="preserve">. </w:t>
      </w:r>
      <w:r w:rsidR="0007190B">
        <w:t>I then compared t</w:t>
      </w:r>
      <w:r w:rsidR="00896090">
        <w:t xml:space="preserve">his assessment with </w:t>
      </w:r>
      <w:r w:rsidR="0007190B">
        <w:t>population</w:t>
      </w:r>
      <w:r w:rsidR="00896090">
        <w:t xml:space="preserve"> estim</w:t>
      </w:r>
      <w:r w:rsidR="0007190B">
        <w:t xml:space="preserve">ates. The result was there still several areas particularly in the more densely populated west for which there was not detailed information. To account for these populations I made inferences </w:t>
      </w:r>
      <w:r w:rsidR="0007190B">
        <w:lastRenderedPageBreak/>
        <w:t xml:space="preserve">based on geographic alignment and historic </w:t>
      </w:r>
      <w:r w:rsidR="00604B0A">
        <w:t>coalition</w:t>
      </w:r>
      <w:r w:rsidR="0007190B">
        <w:t xml:space="preserve">s to account for these groups. I also accounted for groups of people who not affiliated with any major tribe which </w:t>
      </w:r>
      <w:proofErr w:type="gramStart"/>
      <w:r w:rsidR="0007190B">
        <w:t>were aligned</w:t>
      </w:r>
      <w:proofErr w:type="gramEnd"/>
      <w:r w:rsidR="0007190B">
        <w:t xml:space="preserve"> with various ideologies in urban centers. </w:t>
      </w:r>
    </w:p>
    <w:p w:rsidR="0007190B" w:rsidRDefault="0007190B" w:rsidP="00AE401F">
      <w:pPr>
        <w:spacing w:after="0" w:line="480" w:lineRule="auto"/>
      </w:pPr>
      <w:r>
        <w:tab/>
        <w:t xml:space="preserve">The second step in the qualitative assessment was determining a group’s affinity. </w:t>
      </w:r>
      <w:r w:rsidR="00DD4913">
        <w:t xml:space="preserve">I included this </w:t>
      </w:r>
      <w:r w:rsidR="00453BFD">
        <w:t xml:space="preserve">attribute </w:t>
      </w:r>
      <w:r w:rsidR="00BF0AC3">
        <w:t>due to the</w:t>
      </w:r>
      <w:r w:rsidR="00453BFD">
        <w:t xml:space="preserve"> well-known homophily affect in which people generally chose to align with those most </w:t>
      </w:r>
      <w:r w:rsidR="00DD4913">
        <w:t>like</w:t>
      </w:r>
      <w:r w:rsidR="00453BFD">
        <w:t xml:space="preserve"> themselves</w:t>
      </w:r>
      <w:r w:rsidR="005324BE">
        <w:t xml:space="preserve">, which is also an essential element of trust in civil war </w:t>
      </w:r>
      <w:r w:rsidR="005324BE">
        <w:fldChar w:fldCharType="begin" w:fldLock="1"/>
      </w:r>
      <w:r w:rsidR="005324BE">
        <w:instrText>ADDIN CSL_CITATION { "citationItems" : [ { "id" : "ITEM-1", "itemData" : { "DOI" : "10.1146/annurev.soc.28.110601.141117", "ISBN" : "03600572", "ISSN" : "0360-0572", "PMID" : "6969516", "abstract" : "Sociologists often model social processes as interactions among vari- ables.We review an alternative approach that models social life as interactions among adaptive agents who influence one another in response to the influence they receive. These agent-based models (ABMs) showhowsimple and predictable local interactions can generate familiarbut enigmatic global patterns, such as the diffusion of information, emergence of norms, coordination of conventions, or participation in collective action. Emergent social patterns can also appear unexpectedly and then just as dramatically transform or disappear, as happens in revolutions, market crashes, fads, and feeding frenzies. ABMs provide theoretical leverage where the global patterns of interest are more than the aggregation of individual attributes, but at the same time, the emergent pattern cannot be understood without a bottom up dynamical model of the microfoun- dations at the relational level.We begin with a brief historical sketch of the shift from \u201cfactors\u201d to \u201cactors\u201d in computational sociology that shows howagent-based modeling differs fundamentally from earlier sociological uses of computer simulation.We then reviewrecent contributions focused on the emergence of social structure and social or- der out of local interaction. Although sociology has lagged behind other social sciences in appreciating this newmethodology, a distinctive sociological contribution is evident in the papers we review. First, theoretical interest focuses on dynamic social networks that shape and are shaped by agent interaction. Second, ABMs are used to perform virtual experiments that test macrosociological theories by manipulating structural fac- tors like network topology, social stratification, or spatial mobility. We conclude our review with a series of recommendations for realizing the rich sociological potential of this approach.", "author" : [ { "dropping-particle" : "", "family" : "Macy", "given" : "Michael W.", "non-dropping-particle" : "", "parse-names" : false, "suffix" : "" }, { "dropping-particle" : "", "family" : "Willer", "given" : "Robert", "non-dropping-particle" : "", "parse-names" : false, "suffix" : "" } ], "container-title" : "Annual Review of Sociology", "id" : "ITEM-1", "issue" : "1", "issued" : { "date-parts" : [ [ "2002" ] ] }, "note" : "NULL", "page" : "143-166", "title" : "From Factors to Actors: Computational Sociology and Agent-Based Modeling", "type" : "article-journal", "volume" : "28" }, "uris" : [ "http://www.mendeley.com/documents/?uuid=541dbfb0-8f97-4511-9511-b3015171e474" ] }, { "id" : "ITEM-2", "itemData" : { "ISBN" : "978-0-521-67004-3", "author" : [ { "dropping-particle" : "", "family" : "Kalyvas", "given" : "Stathis N.", "non-dropping-particle" : "", "parse-names" : false, "suffix" : "" } ], "id" : "ITEM-2", "issued" : { "date-parts" : [ [ "2006" ] ] }, "publisher" : "Cambridge University Press", "publisher-place" : "New York", "title" : "The Logic of Violence in Civil War", "type" : "book" }, "uris" : [ "http://www.mendeley.com/documents/?uuid=5579276b-05b4-406f-9785-f8dcd3073d70" ] } ], "mendeley" : { "formattedCitation" : "(Macy and Willer 2002; Kalyvas 2006)", "plainTextFormattedCitation" : "(Macy and Willer 2002; Kalyvas 2006)" }, "properties" : { "noteIndex" : 0 }, "schema" : "https://github.com/citation-style-language/schema/raw/master/csl-citation.json" }</w:instrText>
      </w:r>
      <w:r w:rsidR="005324BE">
        <w:fldChar w:fldCharType="separate"/>
      </w:r>
      <w:r w:rsidR="005324BE" w:rsidRPr="005324BE">
        <w:rPr>
          <w:noProof/>
        </w:rPr>
        <w:t>(Macy and Willer 2002; Kalyvas 2006)</w:t>
      </w:r>
      <w:r w:rsidR="005324BE">
        <w:fldChar w:fldCharType="end"/>
      </w:r>
      <w:r w:rsidR="00453BFD">
        <w:t xml:space="preserve">. </w:t>
      </w:r>
      <w:r>
        <w:t xml:space="preserve">A group’s affinity score is based on a qualitative assessment of where the group would fall </w:t>
      </w:r>
      <w:r w:rsidR="005324BE">
        <w:t xml:space="preserve">in </w:t>
      </w:r>
      <w:r>
        <w:t xml:space="preserve">a spectrum between 0 and 10. </w:t>
      </w:r>
      <w:r w:rsidR="00453BFD">
        <w:t>Based on the historical background there were three points</w:t>
      </w:r>
      <w:r w:rsidR="005324BE">
        <w:t xml:space="preserve"> </w:t>
      </w:r>
      <w:r w:rsidR="00453BFD">
        <w:t>on this spectrum which represented various ideologies</w:t>
      </w:r>
      <w:proofErr w:type="gramStart"/>
      <w:r w:rsidR="00453BFD">
        <w:t xml:space="preserve">. </w:t>
      </w:r>
      <w:r>
        <w:t xml:space="preserve"> </w:t>
      </w:r>
      <w:proofErr w:type="gramEnd"/>
      <w:r w:rsidR="00453BFD">
        <w:t xml:space="preserve">First, </w:t>
      </w:r>
      <w:r w:rsidR="005324BE">
        <w:t xml:space="preserve">an </w:t>
      </w:r>
      <w:proofErr w:type="spellStart"/>
      <w:r w:rsidR="005324BE">
        <w:t>afifnnity</w:t>
      </w:r>
      <w:proofErr w:type="spellEnd"/>
      <w:r w:rsidR="005324BE">
        <w:t xml:space="preserve"> score near </w:t>
      </w:r>
      <w:r w:rsidR="00453BFD">
        <w:t>3.0 represent</w:t>
      </w:r>
      <w:r w:rsidR="005324BE">
        <w:t>s</w:t>
      </w:r>
      <w:r w:rsidR="00453BFD">
        <w:t xml:space="preserve"> nationalists. Groups who had more secular leanings and generally looked to historical precedent to shape their views of Libya’s future. Second, 6.0 represent</w:t>
      </w:r>
      <w:r w:rsidR="005324BE">
        <w:t>s</w:t>
      </w:r>
      <w:r w:rsidR="00453BFD">
        <w:t xml:space="preserve"> fundamentalists. Groups </w:t>
      </w:r>
      <w:r w:rsidR="005324BE">
        <w:t>w</w:t>
      </w:r>
      <w:r w:rsidR="00453BFD">
        <w:t>ho wanted a more religious society were closer to 6.0</w:t>
      </w:r>
      <w:r w:rsidR="005324BE">
        <w:t>, with m</w:t>
      </w:r>
      <w:r w:rsidR="00453BFD">
        <w:t xml:space="preserve">ore fundamentalist groups that followed Salafist traditions (Islamic tradition most closely associated with Saudi Arabia) had higher scores closer to 7 or 8. Islamic extremists, most closely associated with zealots such as Al-Qaeda or the Islamic State had scores at 9 and above. </w:t>
      </w:r>
      <w:r w:rsidR="0038208B">
        <w:t>I discuss t</w:t>
      </w:r>
      <w:r w:rsidR="00453BFD">
        <w:t xml:space="preserve">he impact of affinity on </w:t>
      </w:r>
      <w:r w:rsidR="00604B0A">
        <w:t>coalition</w:t>
      </w:r>
      <w:r w:rsidR="00453BFD">
        <w:t xml:space="preserve"> formation in detail in the section</w:t>
      </w:r>
      <w:r w:rsidR="0038208B">
        <w:t xml:space="preserve"> describing the model</w:t>
      </w:r>
      <w:r w:rsidR="00453BFD">
        <w:t xml:space="preserve">. </w:t>
      </w:r>
    </w:p>
    <w:p w:rsidR="0039597A" w:rsidRDefault="00453BFD" w:rsidP="0039597A">
      <w:pPr>
        <w:spacing w:after="0" w:line="480" w:lineRule="auto"/>
      </w:pPr>
      <w:r>
        <w:tab/>
        <w:t>The third step was assessing power of each group</w:t>
      </w:r>
      <w:r w:rsidR="0038208B">
        <w:t>. I used the average of two variables, economic resources and military capability to assess a group’s power. I determined the group’s economic resources based on their geographic location and assessed access to major revenue sources</w:t>
      </w:r>
      <w:r w:rsidR="006C5502">
        <w:t xml:space="preserve"> on a scale from 0 to 10</w:t>
      </w:r>
      <w:r w:rsidR="0038208B">
        <w:t xml:space="preserve">. Qaddafi had a large government which by some estimates employed up to 80% of the population </w:t>
      </w:r>
      <w:r w:rsidR="0038208B">
        <w:fldChar w:fldCharType="begin" w:fldLock="1"/>
      </w:r>
      <w:r w:rsidR="006C5502">
        <w:instrText>ADDIN CSL_CITATION { "citationItems" : [ { "id" : "ITEM-1", "itemData" : { "DOI" : "10.1596/978-1-4648-0566-0", "ISBN" : "9781464805660", "author" : [ { "dropping-particle" : "", "family" : "Elgazzar", "given" : "Heba", "non-dropping-particle" : "", "parse-names" : false, "suffix" : "" }, { "dropping-particle" : "", "family" : "Bahson", "given" : "Caroline", "non-dropping-particle" : "", "parse-names" : false, "suffix" : "" }, { "dropping-particle" : "", "family" : "Calice", "given" : "Pietro", "non-dropping-particle" : "", "parse-names" : false, "suffix" : "" }, { "dropping-particle" : "", "family" : "Choueri", "given" : "Nada", "non-dropping-particle" : "", "parse-names" : false, "suffix" : "" }, { "dropping-particle" : "", "family" : "Churchill", "given" : "Erik", "non-dropping-particle" : "", "parse-names" : false, "suffix" : "" }, { "dropping-particle" : "", "family" : "Hargreaves", "given" : "Laurence", "non-dropping-particle" : "", "parse-names" : false, "suffix" : "" }, { "dropping-particle" : "", "family" : "Massnaoui", "given" : "Khalid", "non-dropping-particle" : "El", "parse-names" : false, "suffix" : "" }, { "dropping-particle" : "", "family" : "Lahga", "given" : "Abdel Rahman", "non-dropping-particle" : "", "parse-names" : false, "suffix" : "" }, { "dropping-particle" : "", "family" : "Recanatini", "given" : "Francesca", "non-dropping-particle" : "", "parse-names" : false, "suffix" : "" }, { "dropping-particle" : "", "family" : "Ridolfi", "given" : "Paola", "non-dropping-particle" : "", "parse-names" : false, "suffix" : "" } ], "id" : "ITEM-1", "issued" : { "date-parts" : [ [ "2015" ] ] }, "publisher" : "World Bank Group", "publisher-place" : "Washington D.C.", "title" : "Labor Market Dynamics in Libya: Rintegration For Recovery", "type" : "book" }, "uris" : [ "http://www.mendeley.com/documents/?uuid=ddfc6ca3-328c-45e9-95d2-600fd66ebffe" ] } ], "mendeley" : { "formattedCitation" : "(Elgazzar et al. 2015)", "plainTextFormattedCitation" : "(Elgazzar et al. 2015)", "previouslyFormattedCitation" : "(Elgazzar et al. 2015)" }, "properties" : { "noteIndex" : 0 }, "schema" : "https://github.com/citation-style-language/schema/raw/master/csl-citation.json" }</w:instrText>
      </w:r>
      <w:r w:rsidR="0038208B">
        <w:fldChar w:fldCharType="separate"/>
      </w:r>
      <w:r w:rsidR="0038208B" w:rsidRPr="0038208B">
        <w:rPr>
          <w:noProof/>
        </w:rPr>
        <w:t>(Elgazzar et al. 2015)</w:t>
      </w:r>
      <w:r w:rsidR="0038208B">
        <w:fldChar w:fldCharType="end"/>
      </w:r>
      <w:r w:rsidR="0038208B">
        <w:t xml:space="preserve">. Post-Qaddafi Libya has two major revenues sources, trade between Europe and Africa (much of it illicit) and oil </w:t>
      </w:r>
      <w:r w:rsidR="006C5502">
        <w:fldChar w:fldCharType="begin" w:fldLock="1"/>
      </w:r>
      <w:r w:rsidR="006C5502">
        <w:instrText>ADDIN CSL_CITATION { "citationItems" : [ { "id" : "ITEM-1", "itemData" : { "ISBN" : "9781601272140", "abstract" : "As Libya emerges from forty years of autocratic rule, the criminal economy is undermining government efforts at state consolidation. This report maps the flow of weapons, migrants, drugs, and smuggled goods through Libya and details the interactions between armed groups who control illicit markets and local communities. The authors warn that efforts to beef up border control policing will not be sufficient. Combating organized crime in Libya requires a broader approach that will engage marginalized groups in a political process. Failure to do so will affect not only Libya but the region as well.", "author" : [ { "dropping-particle" : "", "family" : "Shaw", "given" : "Mark", "non-dropping-particle" : "", "parse-names" : false, "suffix" : "" }, { "dropping-particle" : "", "family" : "Mangan", "given" : "Fiona", "non-dropping-particle" : "", "parse-names" : false, "suffix" : "" } ], "id" : "ITEM-1", "issued" : { "date-parts" : [ [ "2014" ] ] }, "number-of-pages" : "1-48", "title" : "Illicit trafficking and Libya's transition: Profits and Losses", "type" : "book" }, "uris" : [ "http://www.mendeley.com/documents/?uuid=92f66b31-6df9-4148-8e91-178ea0ce0b38" ] }, { "id" : "ITEM-2", "itemData" : { "abstract" : "Nigeria is the largest oil producer in Africa and is among the world's top five exporters of LNG. Despite the relatively large volumes of oil it produces, Nigeria's oil production is hampered by instability and supply disruptions, while the natural gas sector is restricted by the lack of infrastructure to monetize natural gas that is currently flared (burned off).", "author" : [ { "dropping-particle" : "", "family" : "U.S. Energy Information Administration", "given" : "", "non-dropping-particle" : "", "parse-names" : false, "suffix" : "" } ], "container-title" : "US Energy Information Administration", "id" : "ITEM-2", "issued" : { "date-parts" : [ [ "2016" ] ] }, "page" : "1-7", "title" : "Country Analysis Brief: LIBYA", "type" : "article-journal", "volume" : "2013" }, "uris" : [ "http://www.mendeley.com/documents/?uuid=1c67639e-9fa7-437a-9ce1-ad4495353c82" ] } ], "mendeley" : { "formattedCitation" : "(Shaw and Mangan 2014; U.S. Energy Information Administration 2016)", "plainTextFormattedCitation" : "(Shaw and Mangan 2014; U.S. Energy Information Administration 2016)", "previouslyFormattedCitation" : "(Shaw and Mangan 2014; U.S. Energy Information Administration 2016)" }, "properties" : { "noteIndex" : 0 }, "schema" : "https://github.com/citation-style-language/schema/raw/master/csl-citation.json" }</w:instrText>
      </w:r>
      <w:r w:rsidR="006C5502">
        <w:fldChar w:fldCharType="separate"/>
      </w:r>
      <w:r w:rsidR="006C5502" w:rsidRPr="006C5502">
        <w:rPr>
          <w:noProof/>
        </w:rPr>
        <w:t>(Shaw and Mangan 2014; U.S. Energy Information Administration 2016)</w:t>
      </w:r>
      <w:r w:rsidR="006C5502">
        <w:fldChar w:fldCharType="end"/>
      </w:r>
      <w:r w:rsidR="006C5502">
        <w:t xml:space="preserve">. </w:t>
      </w:r>
      <w:r w:rsidR="0038208B">
        <w:t>An assessment of the group</w:t>
      </w:r>
      <w:r w:rsidR="006C5502">
        <w:t>’</w:t>
      </w:r>
      <w:r w:rsidR="0038208B">
        <w:t xml:space="preserve">s access to trade revenue and oil revenue accounting for damaged </w:t>
      </w:r>
      <w:r w:rsidR="006C5502">
        <w:t>infrastructure as of spring 2017 formed each group’s economic resources value. I was unable to find detailed descriptions of different militia organizations military hardware (tanks, pla</w:t>
      </w:r>
      <w:r w:rsidR="005324BE">
        <w:t>n</w:t>
      </w:r>
      <w:r w:rsidR="006C5502">
        <w:t xml:space="preserve">es </w:t>
      </w:r>
      <w:proofErr w:type="spellStart"/>
      <w:r w:rsidR="006C5502">
        <w:lastRenderedPageBreak/>
        <w:t>etc</w:t>
      </w:r>
      <w:proofErr w:type="spellEnd"/>
      <w:r w:rsidR="006C5502">
        <w:t xml:space="preserve">) and leadership (ability to leverage these resources and command a following). Each group’s military capability value </w:t>
      </w:r>
      <w:proofErr w:type="gramStart"/>
      <w:r w:rsidR="006C5502">
        <w:t>was assessed</w:t>
      </w:r>
      <w:proofErr w:type="gramEnd"/>
      <w:r w:rsidR="006C5502">
        <w:t xml:space="preserve"> based on demonstrated capability and known foreign support. For example, Egypt provided air support to </w:t>
      </w:r>
      <w:proofErr w:type="spellStart"/>
      <w:r w:rsidR="006C5502">
        <w:t>LNA</w:t>
      </w:r>
      <w:proofErr w:type="spellEnd"/>
      <w:r w:rsidR="006C5502">
        <w:t xml:space="preserve"> actions against extremists in </w:t>
      </w:r>
      <w:proofErr w:type="spellStart"/>
      <w:r w:rsidR="006C5502">
        <w:t>Derna</w:t>
      </w:r>
      <w:proofErr w:type="spellEnd"/>
      <w:r w:rsidR="006C5502">
        <w:t xml:space="preserve"> and generally appears to provide military support to the </w:t>
      </w:r>
      <w:proofErr w:type="spellStart"/>
      <w:r w:rsidR="006C5502">
        <w:t>LNA</w:t>
      </w:r>
      <w:proofErr w:type="spellEnd"/>
      <w:r w:rsidR="006C5502">
        <w:t xml:space="preserve"> </w:t>
      </w:r>
      <w:r w:rsidR="006C5502">
        <w:fldChar w:fldCharType="begin" w:fldLock="1"/>
      </w:r>
      <w:r w:rsidR="00E92707">
        <w:instrText>ADDIN CSL_CITATION { "citationItems" : [ { "id" : "ITEM-1", "itemData" : { "URL" : "http://www.aljazeera.com/news/2017/05/egypt-launches-strikes-libya-minya-attack-170526200625281.html", "accessed" : { "date-parts" : [ [ "2017", "7", "26" ] ] }, "container-title" : "Al-Jazeera", "id" : "ITEM-1", "issued" : { "date-parts" : [ [ "2017" ] ] }, "title" : "Egypt launches strikes in Libya after Minya attack | Egypt News | Al Jazeera", "type" : "webpage" }, "uris" : [ "http://www.mendeley.com/documents/?uuid=1928063b-780f-3cf5-b740-2a9759aa3587" ] }, { "id" : "ITEM-2", "itemData" : { "URL" : "http://www.aljazeera.com/news/2017/03/khalifa-haftar-forces-capture-key-libya-oil-terminals-170314155659506.html", "accessed" : { "date-parts" : [ [ "2017", "7", "26" ] ] }, "container-title" : "Al-Jazeera", "id" : "ITEM-2", "issued" : { "date-parts" : [ [ "2017" ] ] }, "title" : "Khalifa Haftar forces capture key Libya oil terminals | Libya News | Al Jazeera", "type" : "webpage" }, "uris" : [ "http://www.mendeley.com/documents/?uuid=5082e6cc-f0eb-3197-8fae-1492950e211d" ] } ], "mendeley" : { "formattedCitation" : "(\u201cEgypt Launches Strikes in Libya after Minya Attack | Egypt News | Al Jazeera\u201d 2017; \u201cKhalifa Haftar Forces Capture Key Libya Oil Terminals | Libya News | Al Jazeera\u201d 2017)", "plainTextFormattedCitation" : "(\u201cEgypt Launches Strikes in Libya after Minya Attack | Egypt News | Al Jazeera\u201d 2017; \u201cKhalifa Haftar Forces Capture Key Libya Oil Terminals | Libya News | Al Jazeera\u201d 2017)", "previouslyFormattedCitation" : "(\u201cEgypt Launches Strikes in Libya after Minya Attack | Egypt News | Al Jazeera\u201d 2017; \u201cKhalifa Haftar Forces Capture Key Libya Oil Terminals | Libya News | Al Jazeera\u201d 2017)" }, "properties" : { "noteIndex" : 0 }, "schema" : "https://github.com/citation-style-language/schema/raw/master/csl-citation.json" }</w:instrText>
      </w:r>
      <w:r w:rsidR="006C5502">
        <w:fldChar w:fldCharType="separate"/>
      </w:r>
      <w:r w:rsidR="006C5502" w:rsidRPr="006C5502">
        <w:rPr>
          <w:noProof/>
        </w:rPr>
        <w:t>(“Egypt Launches Strikes in Libya after Minya Attack | Egypt News | Al Jazeera” 2017; “Khalifa Haftar Forces Capture Key Libya Oil Terminals | Libya News | Al Jazeera” 2017)</w:t>
      </w:r>
      <w:r w:rsidR="006C5502">
        <w:fldChar w:fldCharType="end"/>
      </w:r>
      <w:r w:rsidR="006C5502">
        <w:t>.</w:t>
      </w:r>
      <w:r w:rsidR="006C5502">
        <w:tab/>
      </w:r>
    </w:p>
    <w:p w:rsidR="008817DB" w:rsidRDefault="0039597A" w:rsidP="0039597A">
      <w:pPr>
        <w:spacing w:after="0" w:line="480" w:lineRule="auto"/>
        <w:ind w:firstLine="720"/>
      </w:pPr>
      <w:r>
        <w:t xml:space="preserve">The qualitative assessment of Libya’s groups involved three parts. </w:t>
      </w:r>
      <w:r w:rsidR="005324BE">
        <w:t>One, c</w:t>
      </w:r>
      <w:r>
        <w:t xml:space="preserve">ategorizing the population into groups along generally tribal lines. </w:t>
      </w:r>
      <w:r w:rsidR="005324BE">
        <w:t>Two, a</w:t>
      </w:r>
      <w:r>
        <w:t xml:space="preserve">ssessing each group to determine an affinity value on a 0 to 10 spectrum, which ranges from nationalists and secular on the left (towards </w:t>
      </w:r>
      <w:r w:rsidR="005324BE">
        <w:t>three</w:t>
      </w:r>
      <w:r>
        <w:t xml:space="preserve">) and </w:t>
      </w:r>
      <w:r w:rsidR="005324BE">
        <w:t>fundamentalists</w:t>
      </w:r>
      <w:r>
        <w:t xml:space="preserve"> on the right (towards </w:t>
      </w:r>
      <w:r w:rsidR="005324BE">
        <w:t>six</w:t>
      </w:r>
      <w:r>
        <w:t xml:space="preserve">). </w:t>
      </w:r>
      <w:r w:rsidR="005324BE">
        <w:t>Three, a</w:t>
      </w:r>
      <w:r>
        <w:t xml:space="preserve">ssessing each group to determine a power values based on access to economic resources and demonstrated military capability. My assessment of the various groups and their affinity, economic resources and military capability values </w:t>
      </w:r>
      <w:proofErr w:type="gramStart"/>
      <w:r>
        <w:t>are located in</w:t>
      </w:r>
      <w:proofErr w:type="gramEnd"/>
      <w:r>
        <w:t xml:space="preserve"> appendix A. </w:t>
      </w:r>
      <w:r w:rsidR="00E92707">
        <w:t>This assessment</w:t>
      </w:r>
      <w:r>
        <w:t xml:space="preserve"> </w:t>
      </w:r>
      <w:proofErr w:type="gramStart"/>
      <w:r w:rsidR="00E92707">
        <w:t>was</w:t>
      </w:r>
      <w:r>
        <w:t xml:space="preserve"> then placed</w:t>
      </w:r>
      <w:proofErr w:type="gramEnd"/>
      <w:r>
        <w:t xml:space="preserve"> in a comma separated value (csv)</w:t>
      </w:r>
      <w:r w:rsidR="005324BE">
        <w:t xml:space="preserve"> file </w:t>
      </w:r>
      <w:r>
        <w:t xml:space="preserve">and served as input to the agent based model. </w:t>
      </w:r>
    </w:p>
    <w:p w:rsidR="0039597A" w:rsidRDefault="008817DB" w:rsidP="0039597A">
      <w:pPr>
        <w:spacing w:after="0" w:line="480" w:lineRule="auto"/>
        <w:ind w:firstLine="720"/>
      </w:pPr>
      <w:r>
        <w:t>To assess the impact of foreign aid to I ran three variations of these values. The first variation was the assessed values to determines if the model replicated known alliances. The second variation injected a large amount of military and economic aid into the first group in the list (al-</w:t>
      </w:r>
      <w:proofErr w:type="spellStart"/>
      <w:r>
        <w:t>Ubaidat</w:t>
      </w:r>
      <w:proofErr w:type="spellEnd"/>
      <w:r>
        <w:t>) increasing its economic and military values to 99. The third variation then increased the a</w:t>
      </w:r>
      <w:r w:rsidR="00DF0FEB">
        <w:t xml:space="preserve">id for leading tribes in </w:t>
      </w:r>
      <w:proofErr w:type="spellStart"/>
      <w:r w:rsidR="00DF0FEB">
        <w:t>Tobruk</w:t>
      </w:r>
      <w:proofErr w:type="spellEnd"/>
      <w:r w:rsidR="00DF0FEB">
        <w:t xml:space="preserve"> (Al-</w:t>
      </w:r>
      <w:proofErr w:type="spellStart"/>
      <w:r w:rsidR="00DF0FEB">
        <w:t>Ubaidat</w:t>
      </w:r>
      <w:proofErr w:type="spellEnd"/>
      <w:r w:rsidR="00DF0FEB">
        <w:t>), Bani Walid (Sadat) and Sabha (</w:t>
      </w:r>
      <w:proofErr w:type="spellStart"/>
      <w:r w:rsidR="00DF0FEB">
        <w:t>Awlad</w:t>
      </w:r>
      <w:proofErr w:type="spellEnd"/>
      <w:r w:rsidR="00DF0FEB">
        <w:t xml:space="preserve"> Suliman) to 33 for their respective economic and military values. Th</w:t>
      </w:r>
      <w:r w:rsidR="005324BE">
        <w:t>ese</w:t>
      </w:r>
      <w:r w:rsidR="00DF0FEB">
        <w:t xml:space="preserve"> increase</w:t>
      </w:r>
      <w:r w:rsidR="005324BE">
        <w:t xml:space="preserve">s are </w:t>
      </w:r>
      <w:r w:rsidR="00DF0FEB">
        <w:t xml:space="preserve">significant since the highest </w:t>
      </w:r>
      <w:r w:rsidR="005324BE">
        <w:t xml:space="preserve">economic or military </w:t>
      </w:r>
      <w:r w:rsidR="00DF0FEB">
        <w:t>value prior to th</w:t>
      </w:r>
      <w:r w:rsidR="005324BE">
        <w:t>is</w:t>
      </w:r>
      <w:r w:rsidR="00DF0FEB">
        <w:t xml:space="preserve"> </w:t>
      </w:r>
      <w:r w:rsidR="005324BE">
        <w:t xml:space="preserve">additional foreign aid </w:t>
      </w:r>
      <w:r w:rsidR="00DF0FEB">
        <w:t>was six</w:t>
      </w:r>
      <w:proofErr w:type="gramStart"/>
      <w:r w:rsidR="00DF0FEB">
        <w:t xml:space="preserve">.  </w:t>
      </w:r>
      <w:proofErr w:type="gramEnd"/>
    </w:p>
    <w:p w:rsidR="006C3F5F" w:rsidRDefault="006C3F5F" w:rsidP="006C3F5F">
      <w:pPr>
        <w:pStyle w:val="Subtitle"/>
      </w:pPr>
      <w:r>
        <w:t>2.2 Agent Based Model</w:t>
      </w:r>
    </w:p>
    <w:p w:rsidR="00CF4A7A" w:rsidRDefault="0039597A" w:rsidP="00E92707">
      <w:pPr>
        <w:spacing w:after="0" w:line="480" w:lineRule="auto"/>
      </w:pPr>
      <w:r>
        <w:tab/>
        <w:t xml:space="preserve">The agent based model has </w:t>
      </w:r>
      <w:r w:rsidR="00E92707">
        <w:t>five</w:t>
      </w:r>
      <w:r>
        <w:t xml:space="preserve"> </w:t>
      </w:r>
      <w:r w:rsidR="00E92707">
        <w:t>steps</w:t>
      </w:r>
      <w:r>
        <w:t xml:space="preserve">. </w:t>
      </w:r>
      <w:r w:rsidR="00E92707">
        <w:t>First, the input and instantiation of agents with qualitative assessment of each group.</w:t>
      </w:r>
      <w:r w:rsidR="00CD20F1">
        <w:t xml:space="preserve"> This step includes inputting a marginal effectiveness </w:t>
      </w:r>
      <w:r w:rsidR="00DF0FEB">
        <w:t>parameter</w:t>
      </w:r>
      <w:r w:rsidR="00CD20F1">
        <w:t xml:space="preserve"> </w:t>
      </w:r>
      <w:r w:rsidR="00CD20F1">
        <w:lastRenderedPageBreak/>
        <w:t xml:space="preserve">value and a compromise parameter value. </w:t>
      </w:r>
      <w:r w:rsidR="00E92707">
        <w:t xml:space="preserve">Second, each agent would then examine every other agent and using the bilateral </w:t>
      </w:r>
      <w:r w:rsidR="00170C2D">
        <w:t>Shapley</w:t>
      </w:r>
      <w:r w:rsidR="00E92707">
        <w:t xml:space="preserve"> value determine their preferred matches. The agents would then form </w:t>
      </w:r>
      <w:proofErr w:type="gramStart"/>
      <w:r w:rsidR="00E92707">
        <w:t>an</w:t>
      </w:r>
      <w:proofErr w:type="gramEnd"/>
      <w:r w:rsidR="00E92707">
        <w:t xml:space="preserve"> </w:t>
      </w:r>
      <w:r w:rsidR="00604B0A">
        <w:t>coalition</w:t>
      </w:r>
      <w:r w:rsidR="00E92707">
        <w:t xml:space="preserve"> with their most preferred group. Third, the two agents who formed a </w:t>
      </w:r>
      <w:r w:rsidR="00604B0A">
        <w:t>coalition</w:t>
      </w:r>
      <w:r w:rsidR="00E92707">
        <w:t xml:space="preserve"> would form a new agent, </w:t>
      </w:r>
      <w:r w:rsidR="005324BE">
        <w:t xml:space="preserve">with a new combined </w:t>
      </w:r>
      <w:r w:rsidR="00E92707">
        <w:t xml:space="preserve">affinity and power value. Steps two and three would repeat until there were no more </w:t>
      </w:r>
      <w:r w:rsidR="00604B0A">
        <w:t>coalition</w:t>
      </w:r>
      <w:r w:rsidR="00E92707">
        <w:t>s formed</w:t>
      </w:r>
      <w:r w:rsidR="00DF0FEB">
        <w:t xml:space="preserve">. </w:t>
      </w:r>
      <w:r w:rsidR="00E92707">
        <w:t xml:space="preserve">In step four, the original groups would reexamine their </w:t>
      </w:r>
      <w:r w:rsidR="00604B0A">
        <w:t>coalition</w:t>
      </w:r>
      <w:r w:rsidR="00E92707">
        <w:t xml:space="preserve">s </w:t>
      </w:r>
      <w:r w:rsidR="00CF4A7A">
        <w:t xml:space="preserve">and ensure </w:t>
      </w:r>
      <w:r w:rsidR="00DF0FEB">
        <w:t>their</w:t>
      </w:r>
      <w:r w:rsidR="00CF4A7A">
        <w:t xml:space="preserve"> bilateral</w:t>
      </w:r>
      <w:r w:rsidR="00DF0FEB">
        <w:t xml:space="preserve"> </w:t>
      </w:r>
      <w:r w:rsidR="00170C2D">
        <w:t>Shapley</w:t>
      </w:r>
      <w:r w:rsidR="00DF0FEB">
        <w:t xml:space="preserve"> value continued to support the coalition</w:t>
      </w:r>
      <w:r w:rsidR="00CF4A7A">
        <w:t xml:space="preserve">, if not the groups would break their </w:t>
      </w:r>
      <w:r w:rsidR="00604B0A">
        <w:t>coalition</w:t>
      </w:r>
      <w:r w:rsidR="00CF4A7A">
        <w:t>. The fifth and final step was an output csv which record all the groups and the subgroups affinity an</w:t>
      </w:r>
      <w:r w:rsidR="00DF0FEB">
        <w:t>d power values (see figure 2).</w:t>
      </w:r>
    </w:p>
    <w:p w:rsidR="00512A4B" w:rsidRDefault="00512A4B" w:rsidP="00E92707">
      <w:pPr>
        <w:spacing w:after="0" w:line="480" w:lineRule="auto"/>
      </w:pPr>
      <w:r>
        <w:rPr>
          <w:noProof/>
        </w:rPr>
        <w:drawing>
          <wp:inline distT="0" distB="0" distL="0" distR="0" wp14:anchorId="574E111D" wp14:editId="52D276BB">
            <wp:extent cx="5943600" cy="461264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2640"/>
                    </a:xfrm>
                    <a:prstGeom prst="rect">
                      <a:avLst/>
                    </a:prstGeom>
                    <a:ln>
                      <a:solidFill>
                        <a:schemeClr val="tx1"/>
                      </a:solidFill>
                    </a:ln>
                  </pic:spPr>
                </pic:pic>
              </a:graphicData>
            </a:graphic>
          </wp:inline>
        </w:drawing>
      </w:r>
    </w:p>
    <w:p w:rsidR="00F05B3E" w:rsidRDefault="00512A4B" w:rsidP="00E92707">
      <w:pPr>
        <w:spacing w:after="0" w:line="480" w:lineRule="auto"/>
      </w:pPr>
      <w:r w:rsidRPr="00512A4B">
        <w:rPr>
          <w:b/>
        </w:rPr>
        <w:t>Figure 2</w:t>
      </w:r>
      <w:r>
        <w:t>: Flow Diagram of Agent Based Model</w:t>
      </w:r>
    </w:p>
    <w:p w:rsidR="00512A4B" w:rsidRDefault="00512A4B" w:rsidP="00E92707">
      <w:pPr>
        <w:spacing w:after="0" w:line="480" w:lineRule="auto"/>
      </w:pPr>
      <w:r>
        <w:lastRenderedPageBreak/>
        <w:tab/>
        <w:t xml:space="preserve">The first step of the model </w:t>
      </w:r>
      <w:r w:rsidR="005324BE">
        <w:t xml:space="preserve">reads in </w:t>
      </w:r>
      <w:r>
        <w:t xml:space="preserve">a </w:t>
      </w:r>
      <w:r w:rsidR="005324BE">
        <w:t xml:space="preserve">group based </w:t>
      </w:r>
      <w:r>
        <w:t xml:space="preserve">assessment of any foreign population with affinity, economic resources and military capability values. The model normalizes affinity </w:t>
      </w:r>
      <w:r w:rsidR="005324BE">
        <w:t xml:space="preserve">the </w:t>
      </w:r>
      <w:r>
        <w:t xml:space="preserve">inputs by dividing each group affinity by the maximum group affinity to produce an affinity score between 0 and 1.  The model then reads in the </w:t>
      </w:r>
      <w:r w:rsidR="005324BE">
        <w:t xml:space="preserve">group’s </w:t>
      </w:r>
      <w:r>
        <w:t>economic and military values and takes the mean</w:t>
      </w:r>
      <w:r w:rsidR="005324BE">
        <w:t>.</w:t>
      </w:r>
      <w:r>
        <w:t xml:space="preserve"> This </w:t>
      </w:r>
      <w:r w:rsidR="005324BE">
        <w:t xml:space="preserve">requires the </w:t>
      </w:r>
      <w:r>
        <w:t xml:space="preserve">economic and military values </w:t>
      </w:r>
      <w:r w:rsidR="005324BE">
        <w:t xml:space="preserve">to </w:t>
      </w:r>
      <w:proofErr w:type="gramStart"/>
      <w:r w:rsidR="005324BE">
        <w:t>be assessed</w:t>
      </w:r>
      <w:proofErr w:type="gramEnd"/>
      <w:r>
        <w:t xml:space="preserve"> on the same scale. Each agent is </w:t>
      </w:r>
      <w:r w:rsidR="006D31C8">
        <w:t xml:space="preserve">then </w:t>
      </w:r>
      <w:r>
        <w:t xml:space="preserve">instantiated with their respective </w:t>
      </w:r>
      <w:r w:rsidR="006D31C8">
        <w:t>affinity and power values</w:t>
      </w:r>
      <w:r>
        <w:t xml:space="preserve">. </w:t>
      </w:r>
    </w:p>
    <w:p w:rsidR="00604B0A" w:rsidRDefault="00512A4B" w:rsidP="00E92707">
      <w:pPr>
        <w:spacing w:after="0" w:line="480" w:lineRule="auto"/>
      </w:pPr>
      <w:r>
        <w:tab/>
        <w:t>Step two of the model is</w:t>
      </w:r>
      <w:r w:rsidR="00604B0A">
        <w:t xml:space="preserve"> to </w:t>
      </w:r>
      <w:r>
        <w:t>form coalitions. To do this each agent (group)</w:t>
      </w:r>
      <w:r w:rsidR="00604B0A">
        <w:t xml:space="preserve"> determines the expected utility of </w:t>
      </w:r>
      <w:r w:rsidR="006D31C8">
        <w:t xml:space="preserve">forming an alliance with </w:t>
      </w:r>
      <w:r w:rsidR="00604B0A">
        <w:t xml:space="preserve">every other agent. The expected utility </w:t>
      </w:r>
      <w:proofErr w:type="gramStart"/>
      <w:r w:rsidR="00604B0A">
        <w:t>is calculated</w:t>
      </w:r>
      <w:proofErr w:type="gramEnd"/>
      <w:r w:rsidR="00604B0A">
        <w:t xml:space="preserve"> using</w:t>
      </w:r>
    </w:p>
    <w:p w:rsidR="00604B0A" w:rsidRPr="00604B0A" w:rsidRDefault="0067231A" w:rsidP="00604B0A">
      <w:pPr>
        <w:spacing w:after="0" w:line="480" w:lineRule="auto"/>
        <w:jc w:val="center"/>
        <w:rPr>
          <w:rFonts w:eastAsiaTheme="minorEastAsia"/>
        </w:rPr>
      </w:pP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 (A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e>
        </m:d>
        <m:r>
          <w:rPr>
            <w:rFonts w:ascii="Cambria Math" w:hAnsi="Cambria Math"/>
          </w:rPr>
          <m:t>)</m:t>
        </m:r>
      </m:oMath>
      <w:r w:rsidR="00604B0A">
        <w:rPr>
          <w:rFonts w:eastAsiaTheme="minorEastAsia"/>
        </w:rPr>
        <w:t xml:space="preserve">       </w:t>
      </w:r>
    </w:p>
    <w:p w:rsidR="00DA5BDA" w:rsidRDefault="00604B0A" w:rsidP="00604B0A">
      <w:pPr>
        <w:spacing w:after="0" w:line="480" w:lineRule="auto"/>
        <w:rPr>
          <w:rFonts w:eastAsiaTheme="minorEastAsia"/>
        </w:rPr>
      </w:pPr>
      <w:r>
        <w:rPr>
          <w:rFonts w:eastAsiaTheme="minorEastAsia"/>
        </w:rPr>
        <w:t xml:space="preserve">Where </w:t>
      </w:r>
      <m:oMath>
        <m:r>
          <w:rPr>
            <w:rFonts w:ascii="Cambria Math" w:hAnsi="Cambria Math"/>
          </w:rPr>
          <m:t>ε</m:t>
        </m:r>
      </m:oMath>
      <w:r>
        <w:rPr>
          <w:rFonts w:eastAsiaTheme="minorEastAsia"/>
        </w:rPr>
        <w:t xml:space="preserve"> is the marginal effectiveness parameter and </w:t>
      </w:r>
      <w:r w:rsidRPr="00604B0A">
        <w:rPr>
          <w:rFonts w:eastAsiaTheme="minorEastAsia"/>
          <w:i/>
        </w:rPr>
        <w:t>v(AB)</w:t>
      </w:r>
      <w:r>
        <w:rPr>
          <w:rFonts w:eastAsiaTheme="minorEastAsia"/>
          <w:i/>
        </w:rPr>
        <w:t xml:space="preserve"> </w:t>
      </w:r>
      <w:r w:rsidR="00DA5BDA">
        <w:rPr>
          <w:rFonts w:eastAsiaTheme="minorEastAsia"/>
        </w:rPr>
        <w:t xml:space="preserve">is the expected utility of the relationship </w:t>
      </w:r>
      <w:r w:rsidR="00DA5BDA">
        <w:rPr>
          <w:rFonts w:eastAsiaTheme="minorEastAsia"/>
        </w:rPr>
        <w:fldChar w:fldCharType="begin" w:fldLock="1"/>
      </w:r>
      <w:r w:rsidR="00CD20F1">
        <w:rPr>
          <w:rFonts w:eastAsiaTheme="minorEastAsia"/>
        </w:rPr>
        <w:instrText>ADDIN CSL_CITATION { "citationItems" : [ { "id" : "ITEM-1",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"ITEM-1",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"(Abdollahian, Zinig, and Nelson 2013)", "plainTextFormattedCitation" : "(Abdollahian, Zinig, and Nelson 2013)", "previouslyFormattedCitation" : "(Abdollahian, Zinig, and Nelson 2013)" }, "properties" : { "noteIndex" : 0 }, "schema" : "https://github.com/citation-style-language/schema/raw/master/csl-citation.json" }</w:instrText>
      </w:r>
      <w:r w:rsidR="00DA5BDA">
        <w:rPr>
          <w:rFonts w:eastAsiaTheme="minorEastAsia"/>
        </w:rPr>
        <w:fldChar w:fldCharType="separate"/>
      </w:r>
      <w:r w:rsidR="00DA5BDA" w:rsidRPr="00604B0A">
        <w:rPr>
          <w:rFonts w:eastAsiaTheme="minorEastAsia"/>
          <w:noProof/>
        </w:rPr>
        <w:t>(Abdollahian, Zinig, and Nelson 2013)</w:t>
      </w:r>
      <w:r w:rsidR="00DA5BDA">
        <w:rPr>
          <w:rFonts w:eastAsiaTheme="minorEastAsia"/>
        </w:rPr>
        <w:fldChar w:fldCharType="end"/>
      </w:r>
      <w:r>
        <w:rPr>
          <w:rFonts w:eastAsiaTheme="minorEastAsia"/>
        </w:rPr>
        <w:t xml:space="preserve">. </w:t>
      </w:r>
      <w:r>
        <w:t>Th</w:t>
      </w:r>
      <w:r w:rsidR="00DA5BDA">
        <w:t>e</w:t>
      </w:r>
      <w:r>
        <w:t xml:space="preserve"> expected utility </w:t>
      </w:r>
      <w:proofErr w:type="gramStart"/>
      <w:r>
        <w:t>is then used</w:t>
      </w:r>
      <w:proofErr w:type="gramEnd"/>
      <w:r>
        <w:t xml:space="preserve"> to calculate the bilateral </w:t>
      </w:r>
      <w:r w:rsidR="00170C2D">
        <w:t>Shapley</w:t>
      </w:r>
      <w:r>
        <w:t xml:space="preserve"> value using </w:t>
      </w:r>
    </w:p>
    <w:p w:rsidR="00512A4B" w:rsidRDefault="00DA5BDA" w:rsidP="00DA5BDA">
      <w:pPr>
        <w:spacing w:after="0" w:line="480" w:lineRule="auto"/>
        <w:jc w:val="center"/>
        <w:rPr>
          <w:rFonts w:eastAsiaTheme="minorEastAsia"/>
        </w:rPr>
      </w:pPr>
      <m:oMath>
        <m:r>
          <w:rPr>
            <w:rFonts w:ascii="Cambria Math" w:hAnsi="Cambria Math"/>
          </w:rPr>
          <m:t>BSV</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oMath>
      <w:r>
        <w:rPr>
          <w:rFonts w:eastAsiaTheme="minorEastAsia"/>
        </w:rPr>
        <w:t>)</w:t>
      </w:r>
    </w:p>
    <w:p w:rsidR="006C3F5F" w:rsidRDefault="00DA5BDA" w:rsidP="00E92707">
      <w:pPr>
        <w:spacing w:after="0" w:line="480" w:lineRule="auto"/>
      </w:pPr>
      <w:r w:rsidRPr="00DA5BDA">
        <w:rPr>
          <w:rFonts w:eastAsiaTheme="minorEastAsia"/>
        </w:rPr>
        <w:t xml:space="preserve">Where </w:t>
      </w:r>
      <w:proofErr w:type="spellStart"/>
      <w:r w:rsidRPr="00DA5BDA">
        <w:rPr>
          <w:rFonts w:eastAsiaTheme="minorEastAsia"/>
          <w:i/>
        </w:rPr>
        <w:t>BSV</w:t>
      </w:r>
      <w:proofErr w:type="spellEnd"/>
      <w:r w:rsidRPr="00DA5BDA">
        <w:rPr>
          <w:rFonts w:eastAsiaTheme="minorEastAsia"/>
          <w:i/>
        </w:rPr>
        <w:t>(A)</w:t>
      </w:r>
      <w:r>
        <w:rPr>
          <w:rFonts w:eastAsiaTheme="minorEastAsia"/>
          <w:i/>
        </w:rPr>
        <w:t xml:space="preserve"> </w:t>
      </w:r>
      <w:r w:rsidRPr="00DA5BDA">
        <w:rPr>
          <w:rFonts w:eastAsiaTheme="minorEastAsia"/>
        </w:rPr>
        <w:t xml:space="preserve">is the bilateral </w:t>
      </w:r>
      <w:r w:rsidR="00170C2D">
        <w:rPr>
          <w:rFonts w:eastAsiaTheme="minorEastAsia"/>
        </w:rPr>
        <w:t>Shapley</w:t>
      </w:r>
      <w:r w:rsidRPr="00DA5BDA">
        <w:rPr>
          <w:rFonts w:eastAsiaTheme="minorEastAsia"/>
        </w:rPr>
        <w:t xml:space="preserve"> value for </w:t>
      </w:r>
      <w:r w:rsidR="006D31C8">
        <w:rPr>
          <w:rFonts w:eastAsiaTheme="minorEastAsia"/>
        </w:rPr>
        <w:t>one group</w:t>
      </w:r>
      <w:r w:rsidRPr="00DA5BDA">
        <w:rPr>
          <w:rFonts w:eastAsiaTheme="minorEastAsia"/>
        </w:rPr>
        <w:t xml:space="preserve">. If the </w:t>
      </w:r>
      <w:proofErr w:type="spellStart"/>
      <w:r w:rsidRPr="00DA5BDA">
        <w:rPr>
          <w:rFonts w:eastAsiaTheme="minorEastAsia"/>
        </w:rPr>
        <w:t>BSV</w:t>
      </w:r>
      <w:proofErr w:type="spellEnd"/>
      <w:r w:rsidRPr="00DA5BDA">
        <w:rPr>
          <w:rFonts w:eastAsiaTheme="minorEastAsia"/>
        </w:rPr>
        <w:t xml:space="preserve"> for both groups </w:t>
      </w:r>
      <w:proofErr w:type="gramStart"/>
      <w:r w:rsidRPr="00DA5BDA">
        <w:rPr>
          <w:rFonts w:eastAsiaTheme="minorEastAsia"/>
        </w:rPr>
        <w:t>is</w:t>
      </w:r>
      <w:proofErr w:type="gramEnd"/>
      <w:r w:rsidRPr="00DA5BDA">
        <w:rPr>
          <w:rFonts w:eastAsiaTheme="minorEastAsia"/>
        </w:rPr>
        <w:t xml:space="preserve"> higher than their own power value then the </w:t>
      </w:r>
      <w:proofErr w:type="spellStart"/>
      <w:r w:rsidRPr="00DA5BDA">
        <w:rPr>
          <w:rFonts w:eastAsiaTheme="minorEastAsia"/>
        </w:rPr>
        <w:t>BSV</w:t>
      </w:r>
      <w:proofErr w:type="spellEnd"/>
      <w:r w:rsidRPr="00DA5BDA">
        <w:rPr>
          <w:rFonts w:eastAsiaTheme="minorEastAsia"/>
        </w:rPr>
        <w:t xml:space="preserve"> is stored as a potential coalition. </w:t>
      </w:r>
      <w:r>
        <w:rPr>
          <w:rFonts w:eastAsiaTheme="minorEastAsia"/>
        </w:rPr>
        <w:t>After all potential coalitions are assessed then each agent is pa</w:t>
      </w:r>
      <w:r w:rsidR="006D31C8">
        <w:rPr>
          <w:rFonts w:eastAsiaTheme="minorEastAsia"/>
        </w:rPr>
        <w:t>i</w:t>
      </w:r>
      <w:r>
        <w:rPr>
          <w:rFonts w:eastAsiaTheme="minorEastAsia"/>
        </w:rPr>
        <w:t>red with the best possible coalition and a</w:t>
      </w:r>
      <w:r w:rsidR="006D31C8">
        <w:rPr>
          <w:rFonts w:eastAsiaTheme="minorEastAsia"/>
        </w:rPr>
        <w:t xml:space="preserve"> </w:t>
      </w:r>
      <w:r>
        <w:rPr>
          <w:rFonts w:eastAsiaTheme="minorEastAsia"/>
        </w:rPr>
        <w:t xml:space="preserve">new agent (group) is formed </w:t>
      </w:r>
      <w:r w:rsidR="00E92707">
        <w:fldChar w:fldCharType="begin" w:fldLock="1"/>
      </w:r>
      <w:r w:rsidR="00604B0A">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"mendeley" : { "formattedCitation" : "(Ketchpel 1995)", "plainTextFormattedCitation" : "(Ketchpel 1995)", "previouslyFormattedCitation" : "(Ketchpel 1995)" }, "properties" : { "noteIndex" : 0 }, "schema" : "https://github.com/citation-style-language/schema/raw/master/csl-citation.json" }</w:instrText>
      </w:r>
      <w:r w:rsidR="00E92707">
        <w:fldChar w:fldCharType="separate"/>
      </w:r>
      <w:r w:rsidR="00E92707" w:rsidRPr="00E92707">
        <w:rPr>
          <w:noProof/>
        </w:rPr>
        <w:t>(Ketchpel 1995)</w:t>
      </w:r>
      <w:r w:rsidR="00E92707">
        <w:fldChar w:fldCharType="end"/>
      </w:r>
      <w:r>
        <w:tab/>
        <w:t xml:space="preserve">. This then leads to step three. </w:t>
      </w:r>
    </w:p>
    <w:p w:rsidR="00DA5BDA" w:rsidRDefault="00DA5BDA" w:rsidP="00E92707">
      <w:pPr>
        <w:spacing w:after="0" w:line="480" w:lineRule="auto"/>
      </w:pPr>
      <w:r>
        <w:tab/>
        <w:t xml:space="preserve">Step three forms a new agent (group) from the coalition which formed. The new agent affinity </w:t>
      </w:r>
      <w:proofErr w:type="gramStart"/>
      <w:r>
        <w:t>is calculated</w:t>
      </w:r>
      <w:proofErr w:type="gramEnd"/>
      <w:r>
        <w:t xml:space="preserve"> using</w:t>
      </w:r>
    </w:p>
    <w:p w:rsidR="00DA5BDA" w:rsidRPr="00CD20F1" w:rsidRDefault="0067231A" w:rsidP="00DA5BDA">
      <w:pPr>
        <w:spacing w:after="0" w:line="480" w:lineRule="auto"/>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affinity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num>
            <m:den>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den>
          </m:f>
        </m:oMath>
      </m:oMathPara>
    </w:p>
    <w:p w:rsidR="00DF0FEB" w:rsidRDefault="00CD20F1" w:rsidP="00CD20F1">
      <w:pPr>
        <w:spacing w:after="0" w:line="480" w:lineRule="auto"/>
        <w:rPr>
          <w:rFonts w:eastAsiaTheme="minorEastAsia"/>
        </w:rPr>
      </w:pPr>
      <w:r>
        <w:rPr>
          <w:rFonts w:eastAsiaTheme="minorEastAsia"/>
        </w:rPr>
        <w:t xml:space="preserve">Where C is the new coalition (agent) which has formed </w:t>
      </w:r>
      <w:r>
        <w:rPr>
          <w:rFonts w:eastAsiaTheme="minorEastAsia"/>
        </w:rPr>
        <w:fldChar w:fldCharType="begin" w:fldLock="1"/>
      </w:r>
      <w:r w:rsidR="00116F7E">
        <w:rPr>
          <w:rFonts w:eastAsiaTheme="minorEastAsia"/>
        </w:rPr>
        <w:instrText>ADDIN CSL_CITATION { "citationItems" : [ { "id" : "ITEM-1",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"ITEM-1",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"(Abdollahian, Zinig, and Nelson 2013)", "plainTextFormattedCitation" : "(Abdollahian, Zinig, and Nelson 2013)", "previouslyFormattedCitation" : "(Abdollahian, Zinig, and Nelson 2013)" }, "properties" : { "noteIndex" : 0 }, "schema" : "https://github.com/citation-style-language/schema/raw/master/csl-citation.json" }</w:instrText>
      </w:r>
      <w:r>
        <w:rPr>
          <w:rFonts w:eastAsiaTheme="minorEastAsia"/>
        </w:rPr>
        <w:fldChar w:fldCharType="separate"/>
      </w:r>
      <w:r w:rsidRPr="00CD20F1">
        <w:rPr>
          <w:rFonts w:eastAsiaTheme="minorEastAsia"/>
          <w:noProof/>
        </w:rPr>
        <w:t>(Abdollahian, Zinig, and Nelson 2013)</w:t>
      </w:r>
      <w:r>
        <w:rPr>
          <w:rFonts w:eastAsiaTheme="minorEastAsia"/>
        </w:rPr>
        <w:fldChar w:fldCharType="end"/>
      </w:r>
      <w:r>
        <w:rPr>
          <w:rFonts w:eastAsiaTheme="minorEastAsia"/>
        </w:rPr>
        <w:t xml:space="preserve">. </w:t>
      </w:r>
      <w:r w:rsidR="00DF0FEB">
        <w:rPr>
          <w:rFonts w:eastAsiaTheme="minorEastAsia"/>
        </w:rPr>
        <w:t xml:space="preserve">Of note, the new coalition </w:t>
      </w:r>
      <w:r w:rsidR="008A41BB">
        <w:rPr>
          <w:rFonts w:eastAsiaTheme="minorEastAsia"/>
        </w:rPr>
        <w:t>influences</w:t>
      </w:r>
      <w:r w:rsidR="00DF0FEB">
        <w:rPr>
          <w:rFonts w:eastAsiaTheme="minorEastAsia"/>
        </w:rPr>
        <w:t xml:space="preserve"> the affinity value of its component parts</w:t>
      </w:r>
      <w:r w:rsidR="006D31C8">
        <w:rPr>
          <w:rFonts w:eastAsiaTheme="minorEastAsia"/>
        </w:rPr>
        <w:t xml:space="preserve"> but they do not completely adopt the new affinity</w:t>
      </w:r>
      <w:r w:rsidR="00DF0FEB">
        <w:rPr>
          <w:rFonts w:eastAsiaTheme="minorEastAsia"/>
        </w:rPr>
        <w:t>. After a group decides to join the coalition it</w:t>
      </w:r>
      <w:r w:rsidR="006D31C8">
        <w:rPr>
          <w:rFonts w:eastAsiaTheme="minorEastAsia"/>
        </w:rPr>
        <w:t>s</w:t>
      </w:r>
      <w:r w:rsidR="00DF0FEB">
        <w:rPr>
          <w:rFonts w:eastAsiaTheme="minorEastAsia"/>
        </w:rPr>
        <w:t xml:space="preserve"> affinity value updates using </w:t>
      </w:r>
    </w:p>
    <w:p w:rsidR="008A41BB" w:rsidRPr="008A41BB" w:rsidRDefault="0067231A" w:rsidP="008A41BB">
      <w:pPr>
        <w:spacing w:after="0" w:line="48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affinity</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affinity</m:t>
                  </m:r>
                </m:sub>
              </m:sSub>
              <m:r>
                <w:rPr>
                  <w:rFonts w:ascii="Cambria Math" w:eastAsiaTheme="minorEastAsia" w:hAnsi="Cambria Math"/>
                </w:rPr>
                <m:t>+(C</m:t>
              </m:r>
            </m:e>
            <m:sub>
              <m:r>
                <w:rPr>
                  <w:rFonts w:ascii="Cambria Math" w:eastAsiaTheme="minorEastAsia" w:hAnsi="Cambria Math"/>
                </w:rPr>
                <m:t>affinity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affinity</m:t>
              </m:r>
            </m:sub>
          </m:sSub>
          <m:r>
            <w:rPr>
              <w:rFonts w:ascii="Cambria Math" w:eastAsiaTheme="minorEastAsia" w:hAnsi="Cambria Math"/>
            </w:rPr>
            <m:t xml:space="preserve">* γ) </m:t>
          </m:r>
        </m:oMath>
      </m:oMathPara>
    </w:p>
    <w:p w:rsidR="00CD20F1" w:rsidRDefault="008A41BB" w:rsidP="00CD20F1">
      <w:pPr>
        <w:spacing w:after="0" w:line="480" w:lineRule="auto"/>
        <w:rPr>
          <w:rFonts w:eastAsiaTheme="minorEastAsia"/>
        </w:rPr>
      </w:pPr>
      <w:r>
        <w:rPr>
          <w:rFonts w:eastAsiaTheme="minorEastAsia"/>
        </w:rPr>
        <w:t xml:space="preserve">Where </w:t>
      </w:r>
      <m:oMath>
        <m:r>
          <w:rPr>
            <w:rFonts w:ascii="Cambria Math" w:eastAsiaTheme="minorEastAsia" w:hAnsi="Cambria Math"/>
          </w:rPr>
          <m:t>γ</m:t>
        </m:r>
      </m:oMath>
      <w:r>
        <w:rPr>
          <w:rFonts w:eastAsiaTheme="minorEastAsia"/>
        </w:rPr>
        <w:t xml:space="preserve"> is the inputted compromise parameter determining how much of an affect the new </w:t>
      </w:r>
      <w:r w:rsidR="00AC410D">
        <w:rPr>
          <w:rFonts w:eastAsiaTheme="minorEastAsia"/>
        </w:rPr>
        <w:t>coalition</w:t>
      </w:r>
      <w:r>
        <w:rPr>
          <w:rFonts w:eastAsiaTheme="minorEastAsia"/>
        </w:rPr>
        <w:t xml:space="preserve"> has the group’s affinity </w:t>
      </w:r>
      <w:proofErr w:type="gramStart"/>
      <w:r>
        <w:rPr>
          <w:rFonts w:eastAsiaTheme="minorEastAsia"/>
        </w:rPr>
        <w:t>values .</w:t>
      </w:r>
      <w:proofErr w:type="gramEnd"/>
      <w:r>
        <w:rPr>
          <w:rFonts w:eastAsiaTheme="minorEastAsia"/>
        </w:rPr>
        <w:t xml:space="preserve"> </w:t>
      </w:r>
      <w:r w:rsidR="00CD20F1">
        <w:rPr>
          <w:rFonts w:eastAsiaTheme="minorEastAsia"/>
        </w:rPr>
        <w:t xml:space="preserve">The new power of this group is </w:t>
      </w:r>
    </w:p>
    <w:p w:rsidR="00CD20F1" w:rsidRPr="00CD20F1" w:rsidRDefault="0067231A" w:rsidP="00CD20F1">
      <w:pPr>
        <w:spacing w:after="0"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power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m:t>
          </m:r>
        </m:oMath>
      </m:oMathPara>
    </w:p>
    <w:p w:rsidR="00CD20F1" w:rsidRDefault="00CD20F1" w:rsidP="00CD20F1">
      <w:pPr>
        <w:spacing w:after="0" w:line="480" w:lineRule="auto"/>
        <w:rPr>
          <w:rFonts w:eastAsiaTheme="minorEastAsia"/>
        </w:rPr>
      </w:pPr>
      <w:r>
        <w:rPr>
          <w:rFonts w:eastAsiaTheme="minorEastAsia"/>
        </w:rPr>
        <w:t xml:space="preserve">Where C represents the new coalition’s (agent’s) power and </w:t>
      </w:r>
      <m:oMath>
        <m:r>
          <w:rPr>
            <w:rFonts w:ascii="Cambria Math" w:hAnsi="Cambria Math"/>
          </w:rPr>
          <m:t>ε</m:t>
        </m:r>
      </m:oMath>
      <w:r>
        <w:rPr>
          <w:rFonts w:eastAsiaTheme="minorEastAsia"/>
        </w:rPr>
        <w:t xml:space="preserve"> represents the marginal effectiveness parameter placed in the model. After the new </w:t>
      </w:r>
      <w:proofErr w:type="gramStart"/>
      <w:r>
        <w:rPr>
          <w:rFonts w:eastAsiaTheme="minorEastAsia"/>
        </w:rPr>
        <w:t>agents</w:t>
      </w:r>
      <w:proofErr w:type="gramEnd"/>
      <w:r w:rsidR="00DF0FEB">
        <w:rPr>
          <w:rFonts w:eastAsiaTheme="minorEastAsia"/>
        </w:rPr>
        <w:t xml:space="preserve"> form</w:t>
      </w:r>
      <w:r>
        <w:rPr>
          <w:rFonts w:eastAsiaTheme="minorEastAsia"/>
        </w:rPr>
        <w:t xml:space="preserve">, steps two and three repeat themselves until no new coalitions are formed. </w:t>
      </w:r>
    </w:p>
    <w:p w:rsidR="00DF0FEB" w:rsidRDefault="00DF0FEB" w:rsidP="00CD20F1">
      <w:pPr>
        <w:spacing w:after="0" w:line="480" w:lineRule="auto"/>
        <w:rPr>
          <w:rFonts w:eastAsiaTheme="minorEastAsia"/>
        </w:rPr>
      </w:pPr>
      <w:r>
        <w:rPr>
          <w:rFonts w:eastAsiaTheme="minorEastAsia"/>
        </w:rPr>
        <w:tab/>
      </w:r>
      <w:r w:rsidR="0041475F">
        <w:rPr>
          <w:rFonts w:eastAsiaTheme="minorEastAsia"/>
        </w:rPr>
        <w:t>In step four</w:t>
      </w:r>
      <w:r>
        <w:rPr>
          <w:rFonts w:eastAsiaTheme="minorEastAsia"/>
        </w:rPr>
        <w:t xml:space="preserve"> each group in the coalition assess</w:t>
      </w:r>
      <w:r w:rsidR="0041475F">
        <w:rPr>
          <w:rFonts w:eastAsiaTheme="minorEastAsia"/>
        </w:rPr>
        <w:t>es</w:t>
      </w:r>
      <w:r>
        <w:rPr>
          <w:rFonts w:eastAsiaTheme="minorEastAsia"/>
        </w:rPr>
        <w:t xml:space="preserve"> whether they should remain. </w:t>
      </w:r>
      <w:r w:rsidR="00B35408">
        <w:rPr>
          <w:rFonts w:eastAsiaTheme="minorEastAsia"/>
        </w:rPr>
        <w:t>E</w:t>
      </w:r>
      <w:r>
        <w:rPr>
          <w:rFonts w:eastAsiaTheme="minorEastAsia"/>
        </w:rPr>
        <w:t xml:space="preserve">ach </w:t>
      </w:r>
      <w:r w:rsidR="008A41BB">
        <w:rPr>
          <w:rFonts w:eastAsiaTheme="minorEastAsia"/>
        </w:rPr>
        <w:t>group and the coalition compute</w:t>
      </w:r>
      <w:r w:rsidR="00B35408">
        <w:rPr>
          <w:rFonts w:eastAsiaTheme="minorEastAsia"/>
        </w:rPr>
        <w:t xml:space="preserve">s </w:t>
      </w:r>
      <w:r w:rsidR="008A41BB">
        <w:rPr>
          <w:rFonts w:eastAsiaTheme="minorEastAsia"/>
        </w:rPr>
        <w:t xml:space="preserve">their </w:t>
      </w:r>
      <w:r w:rsidR="008A41BB" w:rsidRPr="008A41BB">
        <w:rPr>
          <w:rFonts w:eastAsiaTheme="minorEastAsia"/>
          <w:i/>
        </w:rPr>
        <w:t>v(AC)</w:t>
      </w:r>
      <w:r w:rsidR="008A41BB">
        <w:rPr>
          <w:rFonts w:eastAsiaTheme="minorEastAsia"/>
          <w:i/>
        </w:rPr>
        <w:t xml:space="preserve">, </w:t>
      </w:r>
      <w:r w:rsidR="008A41BB">
        <w:rPr>
          <w:rFonts w:eastAsiaTheme="minorEastAsia"/>
        </w:rPr>
        <w:t xml:space="preserve">the expected value of remaining in the coalition, and their respective </w:t>
      </w:r>
      <w:r w:rsidR="00B35408" w:rsidRPr="00B35408">
        <w:rPr>
          <w:rFonts w:eastAsiaTheme="minorEastAsia"/>
        </w:rPr>
        <w:t xml:space="preserve">bilateral </w:t>
      </w:r>
      <w:r w:rsidR="00170C2D">
        <w:rPr>
          <w:rFonts w:eastAsiaTheme="minorEastAsia"/>
        </w:rPr>
        <w:t>Shapley</w:t>
      </w:r>
      <w:r w:rsidR="00B35408" w:rsidRPr="00B35408">
        <w:rPr>
          <w:rFonts w:eastAsiaTheme="minorEastAsia"/>
        </w:rPr>
        <w:t xml:space="preserve"> value</w:t>
      </w:r>
      <w:r w:rsidR="008A41BB">
        <w:rPr>
          <w:rFonts w:eastAsiaTheme="minorEastAsia"/>
        </w:rPr>
        <w:t xml:space="preserve">. If the </w:t>
      </w:r>
      <w:proofErr w:type="spellStart"/>
      <w:r w:rsidR="008A41BB">
        <w:rPr>
          <w:rFonts w:eastAsiaTheme="minorEastAsia"/>
        </w:rPr>
        <w:t>BSV</w:t>
      </w:r>
      <w:proofErr w:type="spellEnd"/>
      <w:r w:rsidR="008A41BB">
        <w:rPr>
          <w:rFonts w:eastAsiaTheme="minorEastAsia"/>
        </w:rPr>
        <w:t xml:space="preserve"> for the group is higher in the coalition than without it then the group remains. Otherwise, the group removes itself from the coalition and two new agents </w:t>
      </w:r>
      <w:proofErr w:type="gramStart"/>
      <w:r w:rsidR="008A41BB">
        <w:rPr>
          <w:rFonts w:eastAsiaTheme="minorEastAsia"/>
        </w:rPr>
        <w:t>are formed</w:t>
      </w:r>
      <w:proofErr w:type="gramEnd"/>
      <w:r w:rsidR="008A41BB">
        <w:rPr>
          <w:rFonts w:eastAsiaTheme="minorEastAsia"/>
        </w:rPr>
        <w:t xml:space="preserve">. The coalition without the group and the group as a new agent. </w:t>
      </w:r>
    </w:p>
    <w:p w:rsidR="009E5DBD" w:rsidRPr="00AC410D" w:rsidRDefault="008A41BB" w:rsidP="00942016">
      <w:pPr>
        <w:spacing w:after="0" w:line="480" w:lineRule="auto"/>
        <w:rPr>
          <w:rFonts w:eastAsiaTheme="minorEastAsia"/>
        </w:rPr>
      </w:pPr>
      <w:r>
        <w:rPr>
          <w:rFonts w:eastAsiaTheme="minorEastAsia"/>
        </w:rPr>
        <w:tab/>
        <w:t xml:space="preserve">After this step is complete the model concludes with step five which outputs the </w:t>
      </w:r>
      <w:r w:rsidR="00AC410D">
        <w:rPr>
          <w:rFonts w:eastAsiaTheme="minorEastAsia"/>
        </w:rPr>
        <w:t>information</w:t>
      </w:r>
      <w:r>
        <w:rPr>
          <w:rFonts w:eastAsiaTheme="minorEastAsia"/>
        </w:rPr>
        <w:t xml:space="preserve"> about the coalitions and their sub-groups into a csv file for analysis. </w:t>
      </w:r>
    </w:p>
    <w:p w:rsidR="00DE06FF" w:rsidRDefault="00A06B0D" w:rsidP="009F7A3B">
      <w:pPr>
        <w:pStyle w:val="Heading1"/>
        <w:spacing w:before="0" w:line="480" w:lineRule="auto"/>
      </w:pPr>
      <w:r>
        <w:t>3</w:t>
      </w:r>
      <w:r w:rsidR="006B25CB" w:rsidRPr="00FA412E">
        <w:t>. Results</w:t>
      </w:r>
    </w:p>
    <w:p w:rsidR="00FA412E" w:rsidRDefault="0036724B" w:rsidP="009F7A3B">
      <w:pPr>
        <w:spacing w:after="0" w:line="480" w:lineRule="auto"/>
        <w:ind w:firstLine="720"/>
      </w:pPr>
      <w:r>
        <w:t>Results from the 1</w:t>
      </w:r>
      <w:r w:rsidR="005D34C1">
        <w:t>5</w:t>
      </w:r>
      <w:r>
        <w:t>0 simulations over the three varying conditions of no new foreign support (no support),</w:t>
      </w:r>
      <w:r w:rsidR="005E1078">
        <w:t xml:space="preserve"> </w:t>
      </w:r>
      <w:r>
        <w:t>a large amount of foreign support to one group</w:t>
      </w:r>
      <w:r w:rsidR="005E1078">
        <w:t xml:space="preserve"> (all support to one), and large amount of foreign support to three groups (distributed support)</w:t>
      </w:r>
      <w:r>
        <w:t xml:space="preserve"> show</w:t>
      </w:r>
      <w:r w:rsidR="005E1078">
        <w:t>s an</w:t>
      </w:r>
      <w:r>
        <w:t xml:space="preserve"> increase in the compromise parameter </w:t>
      </w:r>
      <w:r w:rsidR="005E1078">
        <w:t xml:space="preserve">and marginal effectiveness parameter </w:t>
      </w:r>
      <w:r>
        <w:t>results in a quicker coalescence to one group</w:t>
      </w:r>
      <w:r w:rsidR="00B35408">
        <w:t xml:space="preserve"> (figure 3</w:t>
      </w:r>
      <w:r w:rsidR="005E1078">
        <w:t xml:space="preserve">). The marginal effectiveness parameter has the most impact over small range of 1.1 to 1.6 with any compromise parameter above 0. 4.  </w:t>
      </w:r>
      <w:r w:rsidR="000B37A4">
        <w:t>A low compromise parameter</w:t>
      </w:r>
      <w:r w:rsidR="003C7235">
        <w:t xml:space="preserve"> of less than 0.3 combined with a marginal effectiveness parameter between 1.1 and 1.4 s</w:t>
      </w:r>
      <w:r w:rsidR="000B37A4">
        <w:t>hows the greatest variability both in different numbers of tribe formations</w:t>
      </w:r>
      <w:r w:rsidR="003C7235">
        <w:t xml:space="preserve"> and the affinity parameter of the larger group alternating between </w:t>
      </w:r>
      <w:r w:rsidR="00B178E9">
        <w:t>fundamentalist</w:t>
      </w:r>
      <w:r w:rsidR="003C7235">
        <w:t xml:space="preserve"> majorities and </w:t>
      </w:r>
      <w:r w:rsidR="00BD30C4">
        <w:t xml:space="preserve">nationalist </w:t>
      </w:r>
      <w:r w:rsidR="003C7235">
        <w:t>majorities</w:t>
      </w:r>
      <w:r w:rsidR="000B37A4">
        <w:t>.</w:t>
      </w:r>
      <w:r w:rsidR="00B35408">
        <w:t xml:space="preserve"> Foreign support to one group (al-</w:t>
      </w:r>
      <w:proofErr w:type="spellStart"/>
      <w:r w:rsidR="00B35408">
        <w:t>Ubaidat</w:t>
      </w:r>
      <w:proofErr w:type="spellEnd"/>
      <w:r w:rsidR="00B35408">
        <w:t xml:space="preserve">) has the </w:t>
      </w:r>
      <w:r w:rsidR="00B35408">
        <w:lastRenderedPageBreak/>
        <w:t xml:space="preserve">largest impact on coalition </w:t>
      </w:r>
      <w:r w:rsidR="005E1078">
        <w:t xml:space="preserve">formation. The impact, however, </w:t>
      </w:r>
      <w:r w:rsidR="00B178E9">
        <w:t>varies based on the conditions</w:t>
      </w:r>
      <w:r w:rsidR="000B37A4">
        <w:t xml:space="preserve"> as the supported group and associated</w:t>
      </w:r>
      <w:r w:rsidR="00B178E9">
        <w:t xml:space="preserve"> </w:t>
      </w:r>
      <w:r w:rsidR="00604B0A">
        <w:t>coalition</w:t>
      </w:r>
      <w:r w:rsidR="00B178E9">
        <w:t xml:space="preserve"> size goes down under certain marginal effectiveness parameters and up under others</w:t>
      </w:r>
      <w:r w:rsidR="000B37A4">
        <w:t>.</w:t>
      </w:r>
      <w:r w:rsidR="0054306D">
        <w:t xml:space="preserve"> Distributed support has no effect on </w:t>
      </w:r>
      <w:r w:rsidR="00604B0A">
        <w:t>coalition</w:t>
      </w:r>
      <w:r w:rsidR="0054306D">
        <w:t xml:space="preserve"> formation producing the same results as in the no support runs, with the prim</w:t>
      </w:r>
      <w:r w:rsidR="007C056E">
        <w:t>ary impact</w:t>
      </w:r>
      <w:r w:rsidR="0054306D">
        <w:t xml:space="preserve"> being an increase of power for the support groups</w:t>
      </w:r>
      <w:r w:rsidR="006639BE">
        <w:t>.</w:t>
      </w:r>
      <w:r w:rsidR="007C056E">
        <w:t xml:space="preserve"> Altering marginal effectiveness had the greatest impact on </w:t>
      </w:r>
      <w:r w:rsidR="00604B0A">
        <w:t>coalition</w:t>
      </w:r>
      <w:r w:rsidR="006639BE">
        <w:t xml:space="preserve"> formation,</w:t>
      </w:r>
      <w:r w:rsidR="007C056E">
        <w:t xml:space="preserve"> while foreign suppor</w:t>
      </w:r>
      <w:r w:rsidR="006639BE">
        <w:t>t had</w:t>
      </w:r>
      <w:r w:rsidR="007C056E">
        <w:t xml:space="preserve"> mini</w:t>
      </w:r>
      <w:r w:rsidR="006639BE">
        <w:t>mal impact on</w:t>
      </w:r>
      <w:r w:rsidR="007C056E">
        <w:t xml:space="preserve"> </w:t>
      </w:r>
      <w:r w:rsidR="00604B0A">
        <w:t>coalition</w:t>
      </w:r>
      <w:r w:rsidR="007C056E">
        <w:t xml:space="preserve"> formation </w:t>
      </w:r>
      <w:r w:rsidR="00B178E9">
        <w:t xml:space="preserve">except </w:t>
      </w:r>
      <w:r w:rsidR="007C056E">
        <w:t>under specific marginal effectiveness input</w:t>
      </w:r>
      <w:r w:rsidR="006639BE">
        <w:t>s.</w:t>
      </w:r>
    </w:p>
    <w:p w:rsidR="002530CF" w:rsidRDefault="002530CF" w:rsidP="009F7A3B">
      <w:pPr>
        <w:spacing w:after="0" w:line="480" w:lineRule="auto"/>
      </w:pPr>
      <w:r>
        <w:rPr>
          <w:noProof/>
        </w:rPr>
        <w:drawing>
          <wp:inline distT="0" distB="0" distL="0" distR="0" wp14:anchorId="52EF7AB3" wp14:editId="48430935">
            <wp:extent cx="5924550" cy="4037121"/>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l runs.png"/>
                    <pic:cNvPicPr/>
                  </pic:nvPicPr>
                  <pic:blipFill>
                    <a:blip r:embed="rId10">
                      <a:extLst>
                        <a:ext uri="{28A0092B-C50C-407E-A947-70E740481C1C}">
                          <a14:useLocalDpi xmlns:a14="http://schemas.microsoft.com/office/drawing/2010/main" val="0"/>
                        </a:ext>
                      </a:extLst>
                    </a:blip>
                    <a:stretch>
                      <a:fillRect/>
                    </a:stretch>
                  </pic:blipFill>
                  <pic:spPr>
                    <a:xfrm>
                      <a:off x="0" y="0"/>
                      <a:ext cx="5929983" cy="4040823"/>
                    </a:xfrm>
                    <a:prstGeom prst="rect">
                      <a:avLst/>
                    </a:prstGeom>
                    <a:ln>
                      <a:solidFill>
                        <a:schemeClr val="tx1"/>
                      </a:solidFill>
                    </a:ln>
                  </pic:spPr>
                </pic:pic>
              </a:graphicData>
            </a:graphic>
          </wp:inline>
        </w:drawing>
      </w:r>
    </w:p>
    <w:p w:rsidR="002530CF" w:rsidRPr="002530CF" w:rsidRDefault="002530CF" w:rsidP="009F7A3B">
      <w:pPr>
        <w:spacing w:after="0" w:line="480" w:lineRule="auto"/>
      </w:pPr>
      <w:r w:rsidRPr="002530CF">
        <w:rPr>
          <w:b/>
        </w:rPr>
        <w:t xml:space="preserve">Figure </w:t>
      </w:r>
      <w:r w:rsidR="00B35408">
        <w:rPr>
          <w:b/>
        </w:rPr>
        <w:t>3</w:t>
      </w:r>
      <w:r w:rsidRPr="002530CF">
        <w:rPr>
          <w:b/>
        </w:rPr>
        <w:t xml:space="preserve">: </w:t>
      </w:r>
      <w:r w:rsidR="00B658F7">
        <w:t>Results of 15</w:t>
      </w:r>
      <w:r>
        <w:t>0 simulation runs</w:t>
      </w:r>
    </w:p>
    <w:p w:rsidR="00B52CDD" w:rsidRDefault="000B37A4" w:rsidP="009F7A3B">
      <w:pPr>
        <w:spacing w:after="0" w:line="480" w:lineRule="auto"/>
      </w:pPr>
      <w:r>
        <w:tab/>
      </w:r>
      <w:r w:rsidR="00BD042C">
        <w:t xml:space="preserve">The two tuning parameters had a large impact on the overall model results. Of the two, marginal effectiveness had the larger impact. </w:t>
      </w:r>
      <w:r w:rsidR="00B178E9">
        <w:t>I</w:t>
      </w:r>
      <w:r w:rsidR="00BD042C">
        <w:t>f the marginal effectiveness had a value of one, no tribes coalesced for the simple reason</w:t>
      </w:r>
      <w:r w:rsidR="00B35408">
        <w:t>,</w:t>
      </w:r>
      <w:r w:rsidR="00BD042C">
        <w:t xml:space="preserve"> there was no added benefit to forming </w:t>
      </w:r>
      <w:proofErr w:type="gramStart"/>
      <w:r w:rsidR="00BD042C">
        <w:t>an</w:t>
      </w:r>
      <w:proofErr w:type="gramEnd"/>
      <w:r w:rsidR="00BD042C">
        <w:t xml:space="preserve"> </w:t>
      </w:r>
      <w:r w:rsidR="00604B0A">
        <w:t>coalition</w:t>
      </w:r>
      <w:r w:rsidR="00BD042C">
        <w:t xml:space="preserve"> with a group of a slightly different opinion. However, even a small increase from 1.0 to 1.1 resulted in a benefit that could </w:t>
      </w:r>
      <w:r w:rsidR="00BD042C">
        <w:lastRenderedPageBreak/>
        <w:t xml:space="preserve">offset the dampening effect of the difference in affinity values. </w:t>
      </w:r>
      <w:r w:rsidR="005F528B">
        <w:t>Any marginal effectiveness value over two resulted in all groups allying with each other. As the compromise parameter went up the marginal effectiveness parameter at which the different groups coalesced in</w:t>
      </w:r>
      <w:r w:rsidR="00B52CDD">
        <w:t>to</w:t>
      </w:r>
      <w:r w:rsidR="005F528B">
        <w:t xml:space="preserve"> one </w:t>
      </w:r>
      <w:r w:rsidR="00604B0A">
        <w:t>coalition</w:t>
      </w:r>
      <w:r w:rsidR="005F528B">
        <w:t xml:space="preserve"> went down</w:t>
      </w:r>
      <w:r w:rsidR="00BD042C">
        <w:t>.</w:t>
      </w:r>
      <w:r w:rsidR="006639BE">
        <w:t xml:space="preserve"> </w:t>
      </w:r>
      <w:r w:rsidR="005F528B">
        <w:t xml:space="preserve">The impact of the parameters can then be viewed as </w:t>
      </w:r>
      <w:proofErr w:type="gramStart"/>
      <w:r w:rsidR="005F528B">
        <w:t>a</w:t>
      </w:r>
      <w:proofErr w:type="gramEnd"/>
      <w:r w:rsidR="005F528B">
        <w:t xml:space="preserve"> </w:t>
      </w:r>
      <w:r w:rsidR="00B178E9">
        <w:t xml:space="preserve">identifying a </w:t>
      </w:r>
      <w:r w:rsidR="005F528B">
        <w:t xml:space="preserve">boundary between no </w:t>
      </w:r>
      <w:r w:rsidR="00604B0A">
        <w:t>coalition</w:t>
      </w:r>
      <w:r w:rsidR="005F528B">
        <w:t xml:space="preserve">s being formed (marginal effectiveness parameter </w:t>
      </w:r>
      <w:r w:rsidR="005F528B">
        <w:rPr>
          <w:u w:val="single"/>
        </w:rPr>
        <w:t>&lt;</w:t>
      </w:r>
      <w:r w:rsidR="00B52CDD">
        <w:t xml:space="preserve"> 1</w:t>
      </w:r>
      <w:r w:rsidR="005F528B">
        <w:t xml:space="preserve">; compromise parameter = 0) and every group forming a single coalition (marginal effectiveness parameter </w:t>
      </w:r>
      <w:r w:rsidR="005F528B">
        <w:softHyphen/>
      </w:r>
      <w:r w:rsidR="005F528B">
        <w:rPr>
          <w:u w:val="single"/>
        </w:rPr>
        <w:t>&gt;</w:t>
      </w:r>
      <w:r w:rsidR="005F528B">
        <w:t xml:space="preserve"> 2; compromise </w:t>
      </w:r>
      <w:r w:rsidR="00B52CDD">
        <w:t>parameter &gt; 0.3). The most interesting behavior of the model occurred within this boundary.</w:t>
      </w:r>
    </w:p>
    <w:p w:rsidR="005F528B" w:rsidRDefault="00B52CDD" w:rsidP="009F7A3B">
      <w:pPr>
        <w:spacing w:after="0" w:line="480" w:lineRule="auto"/>
        <w:ind w:firstLine="720"/>
      </w:pPr>
      <w:r>
        <w:t>T</w:t>
      </w:r>
      <w:r w:rsidR="006639BE">
        <w:t>he marginal effectiveness parameters of 1.2, 1.3, and 1.4</w:t>
      </w:r>
      <w:r w:rsidR="005F528B">
        <w:t xml:space="preserve"> and compromise parameter of 0.1, 0.2, and 0.3 showed the most variation in the results.</w:t>
      </w:r>
      <w:r w:rsidR="003C7235">
        <w:t xml:space="preserve"> As mentioned previously the affinity of each group </w:t>
      </w:r>
      <w:proofErr w:type="gramStart"/>
      <w:r w:rsidR="003C7235">
        <w:t>was place</w:t>
      </w:r>
      <w:r w:rsidR="00B35408">
        <w:t>d</w:t>
      </w:r>
      <w:proofErr w:type="gramEnd"/>
      <w:r w:rsidR="003C7235">
        <w:t xml:space="preserve"> on a spectrum from 0 to 10. Groups </w:t>
      </w:r>
      <w:r w:rsidR="00B35408">
        <w:t xml:space="preserve">with nationalist and secular </w:t>
      </w:r>
      <w:r w:rsidR="003C7235">
        <w:t>leanings</w:t>
      </w:r>
      <w:r w:rsidR="001328A0">
        <w:t xml:space="preserve"> (</w:t>
      </w:r>
      <w:r w:rsidR="00BD30C4">
        <w:t>nationalists</w:t>
      </w:r>
      <w:r w:rsidR="001328A0">
        <w:t>)</w:t>
      </w:r>
      <w:r w:rsidR="003C7235">
        <w:t xml:space="preserve"> were closer to 3.0 on the scale, Islamists</w:t>
      </w:r>
      <w:r w:rsidR="001328A0">
        <w:t xml:space="preserve"> (</w:t>
      </w:r>
      <w:proofErr w:type="gramStart"/>
      <w:r w:rsidR="001328A0">
        <w:t xml:space="preserve">fundamentalists) </w:t>
      </w:r>
      <w:r w:rsidR="003C7235">
        <w:t xml:space="preserve"> were</w:t>
      </w:r>
      <w:proofErr w:type="gramEnd"/>
      <w:r w:rsidR="003C7235">
        <w:t xml:space="preserve"> closer to 6.0, Islamic Extremists (</w:t>
      </w:r>
      <w:r w:rsidR="008A2384">
        <w:t xml:space="preserve">e.g. </w:t>
      </w:r>
      <w:r w:rsidR="003C7235">
        <w:t xml:space="preserve">Da’esh, ISIS, Al-Qaeda) </w:t>
      </w:r>
      <w:r w:rsidR="001328A0">
        <w:t xml:space="preserve">(extremists) </w:t>
      </w:r>
      <w:r w:rsidR="008A2384">
        <w:t>were closer</w:t>
      </w:r>
      <w:r w:rsidR="003C7235">
        <w:t xml:space="preserve"> to 9.0 and higher, and minority groups typically outside </w:t>
      </w:r>
      <w:r w:rsidR="008A2384">
        <w:t>the main structures were closer to 1.0 and lower</w:t>
      </w:r>
      <w:r w:rsidR="003C7235">
        <w:t>.</w:t>
      </w:r>
      <w:r w:rsidR="008A2384">
        <w:t xml:space="preserve"> Parameter inputs of 1.1 for marginal effectiveness and 0.1 to 0.3 showed the highest spread of groups with roughly three fringe groups who are non-allied groups on the extreme (&gt; 9.0 or &lt; 1.0) and then two to four medium sized groups spread across the rest of the spectrum. A marginal effectiveness setting of 1.2 and a compromise setting of 0.2 would result in seven fringe groups and three </w:t>
      </w:r>
      <w:r w:rsidR="00550471">
        <w:t>large groups, with a moderate affinity (0.56) as the largest (48) and most powerful</w:t>
      </w:r>
      <w:r w:rsidR="008A2384">
        <w:t xml:space="preserve"> </w:t>
      </w:r>
      <w:r w:rsidR="00D0624B">
        <w:t xml:space="preserve">(108.84). </w:t>
      </w:r>
      <w:r w:rsidR="00550471">
        <w:t>Increasing the compromise parameter to 0.3 reduce</w:t>
      </w:r>
      <w:r w:rsidR="00B178E9">
        <w:t>d</w:t>
      </w:r>
      <w:r w:rsidR="00550471">
        <w:t xml:space="preserve"> the fringe groups</w:t>
      </w:r>
      <w:r w:rsidR="00B178E9">
        <w:t>.</w:t>
      </w:r>
      <w:r w:rsidR="001328A0">
        <w:t xml:space="preserve"> The reduction of fringe groups by increasing the compromise </w:t>
      </w:r>
      <w:r w:rsidR="00B35408">
        <w:t>parameter also</w:t>
      </w:r>
      <w:r w:rsidR="00B178E9">
        <w:t xml:space="preserve"> occurred with an </w:t>
      </w:r>
      <w:r w:rsidR="001328A0">
        <w:t xml:space="preserve">increase </w:t>
      </w:r>
      <w:r w:rsidR="00B178E9">
        <w:t>in</w:t>
      </w:r>
      <w:r w:rsidR="001328A0">
        <w:t xml:space="preserve"> the marginal effectiveness parameter, indicating that the effect of the compromise parameter is to bring fringe groups into larger </w:t>
      </w:r>
      <w:r w:rsidR="00604B0A">
        <w:t>coalition</w:t>
      </w:r>
      <w:r w:rsidR="001328A0">
        <w:t xml:space="preserve"> formations. Interestingly, the increase of the marginal effectiveness parameter results in </w:t>
      </w:r>
      <w:proofErr w:type="gramStart"/>
      <w:r w:rsidR="001328A0">
        <w:t>a majority of</w:t>
      </w:r>
      <w:proofErr w:type="gramEnd"/>
      <w:r w:rsidR="001328A0">
        <w:t xml:space="preserve"> fundamentalists or </w:t>
      </w:r>
      <w:r w:rsidR="00BD30C4">
        <w:t>nationalists</w:t>
      </w:r>
      <w:r w:rsidR="001328A0">
        <w:t xml:space="preserve"> depending on the parameter. At a 1.3 marginal effectiveness </w:t>
      </w:r>
      <w:r w:rsidR="00CA3F26">
        <w:t>parameter,</w:t>
      </w:r>
      <w:r w:rsidR="001328A0">
        <w:t xml:space="preserve"> the fundamentalists have the majority and at a 1.4 marginal effectiveness parameter the </w:t>
      </w:r>
      <w:r w:rsidR="00BD30C4">
        <w:t>nationalists</w:t>
      </w:r>
      <w:r w:rsidR="001328A0">
        <w:t xml:space="preserve"> have a majority (figure </w:t>
      </w:r>
      <w:r w:rsidR="00B35408">
        <w:t>4</w:t>
      </w:r>
      <w:r w:rsidR="001328A0">
        <w:t xml:space="preserve"> and </w:t>
      </w:r>
      <w:r w:rsidR="00B35408">
        <w:t>5</w:t>
      </w:r>
      <w:r w:rsidR="001328A0">
        <w:t>)</w:t>
      </w:r>
      <w:r w:rsidR="00B701DA">
        <w:t xml:space="preserve">. </w:t>
      </w:r>
      <w:r w:rsidR="00D0624B">
        <w:t xml:space="preserve">It is also important to point out </w:t>
      </w:r>
      <w:r w:rsidR="00D0624B">
        <w:lastRenderedPageBreak/>
        <w:t xml:space="preserve">that the majority is more moderated (closer to five) while the minority is more extreme (close to 9 or 1). </w:t>
      </w:r>
      <w:r w:rsidR="00B701DA">
        <w:t xml:space="preserve">These results are all under conditions of no new foreign support as well as foreign support distributed to three groups. </w:t>
      </w:r>
    </w:p>
    <w:p w:rsidR="00B61470" w:rsidRDefault="00B178E9" w:rsidP="009F7A3B">
      <w:pPr>
        <w:spacing w:after="0" w:line="480" w:lineRule="auto"/>
      </w:pPr>
      <w:r>
        <w:rPr>
          <w:noProof/>
        </w:rPr>
        <w:drawing>
          <wp:inline distT="0" distB="0" distL="0" distR="0">
            <wp:extent cx="2867025" cy="2096770"/>
            <wp:effectExtent l="19050" t="19050" r="2857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2884405" cy="2109481"/>
                    </a:xfrm>
                    <a:prstGeom prst="rect">
                      <a:avLst/>
                    </a:prstGeom>
                    <a:ln>
                      <a:solidFill>
                        <a:schemeClr val="tx1"/>
                      </a:solidFill>
                    </a:ln>
                  </pic:spPr>
                </pic:pic>
              </a:graphicData>
            </a:graphic>
          </wp:inline>
        </w:drawing>
      </w:r>
      <w:r w:rsidR="00D02B32">
        <w:rPr>
          <w:noProof/>
        </w:rPr>
        <w:drawing>
          <wp:inline distT="0" distB="0" distL="0" distR="0" wp14:anchorId="43CE3FA8" wp14:editId="5A6CF09D">
            <wp:extent cx="2837889" cy="2107565"/>
            <wp:effectExtent l="19050" t="19050" r="1968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2853423" cy="2119102"/>
                    </a:xfrm>
                    <a:prstGeom prst="rect">
                      <a:avLst/>
                    </a:prstGeom>
                    <a:ln>
                      <a:solidFill>
                        <a:schemeClr val="tx1"/>
                      </a:solidFill>
                    </a:ln>
                  </pic:spPr>
                </pic:pic>
              </a:graphicData>
            </a:graphic>
          </wp:inline>
        </w:drawing>
      </w:r>
    </w:p>
    <w:p w:rsidR="00D02B32" w:rsidRDefault="00B61470" w:rsidP="00B35408">
      <w:pPr>
        <w:spacing w:after="0" w:line="240" w:lineRule="auto"/>
      </w:pPr>
      <w:r>
        <w:rPr>
          <w:b/>
        </w:rPr>
        <w:t xml:space="preserve">Figure 2: </w:t>
      </w:r>
      <w:r w:rsidR="00604B0A">
        <w:t>Coalition</w:t>
      </w:r>
      <w:r w:rsidR="00D0624B">
        <w:t xml:space="preserve"> formation with fundamentalist </w:t>
      </w:r>
      <w:r w:rsidR="00D02B32">
        <w:t xml:space="preserve">    </w:t>
      </w:r>
      <w:r w:rsidR="00D02B32">
        <w:rPr>
          <w:b/>
        </w:rPr>
        <w:t xml:space="preserve">Figure 3: </w:t>
      </w:r>
      <w:r w:rsidR="00604B0A">
        <w:t>Coalition</w:t>
      </w:r>
      <w:r w:rsidR="00D02B32">
        <w:t xml:space="preserve"> formation with nationalists gaining a majority at 1.3 marginal effectiveness        </w:t>
      </w:r>
      <w:r w:rsidR="00B35408">
        <w:t xml:space="preserve"> gaining </w:t>
      </w:r>
      <w:r w:rsidR="00D02B32">
        <w:t>a majority at 1.4 marginal effectiveness</w:t>
      </w:r>
    </w:p>
    <w:p w:rsidR="00B35408" w:rsidRDefault="00B35408" w:rsidP="00B35408">
      <w:pPr>
        <w:spacing w:after="0" w:line="240" w:lineRule="auto"/>
      </w:pPr>
    </w:p>
    <w:p w:rsidR="00B701DA" w:rsidRDefault="00B701DA" w:rsidP="009F7A3B">
      <w:pPr>
        <w:spacing w:after="0" w:line="480" w:lineRule="auto"/>
        <w:ind w:firstLine="720"/>
      </w:pPr>
      <w:r>
        <w:t xml:space="preserve">Providing a large amount of foreign support to one group does </w:t>
      </w:r>
      <w:r w:rsidR="00CA3F26">
        <w:t>c</w:t>
      </w:r>
      <w:r>
        <w:t xml:space="preserve">hange the </w:t>
      </w:r>
      <w:r w:rsidR="00CA3F26">
        <w:t>affiliation</w:t>
      </w:r>
      <w:r>
        <w:t xml:space="preserve"> dynamics within the boundary condition.</w:t>
      </w:r>
      <w:r w:rsidR="00CA3F26">
        <w:t xml:space="preserve"> Increasing the compromise parameter continues to reduce </w:t>
      </w:r>
      <w:proofErr w:type="gramStart"/>
      <w:r w:rsidR="00CA3F26">
        <w:t xml:space="preserve">the  </w:t>
      </w:r>
      <w:r w:rsidR="00FC72B8">
        <w:t>number</w:t>
      </w:r>
      <w:proofErr w:type="gramEnd"/>
      <w:r w:rsidR="00FC72B8">
        <w:t xml:space="preserve"> of fringe groups, while </w:t>
      </w:r>
      <w:r w:rsidR="00CA3F26">
        <w:t>a marginal effectiveness parameter of 1.1 increases the size of the non-support</w:t>
      </w:r>
      <w:r w:rsidR="00131731">
        <w:t xml:space="preserve">ed moderate large </w:t>
      </w:r>
      <w:r w:rsidR="00604B0A">
        <w:t>coalition</w:t>
      </w:r>
      <w:r w:rsidR="00131731">
        <w:t xml:space="preserve"> (affinity 0.54) from 37 to a </w:t>
      </w:r>
      <w:r w:rsidR="00604B0A">
        <w:t>coalition</w:t>
      </w:r>
      <w:r w:rsidR="00131731">
        <w:t xml:space="preserve"> of 45 groups (affinity .55) while the supported group (affinity .33) only increase</w:t>
      </w:r>
      <w:r w:rsidR="00227EE9">
        <w:t>s</w:t>
      </w:r>
      <w:r w:rsidR="00131731">
        <w:t xml:space="preserve"> by 1 to 25 (affinity of 0.3). As the marginal effectiveness parameters increases to 1.</w:t>
      </w:r>
      <w:r w:rsidR="00E97773">
        <w:t xml:space="preserve">3 the 0.32 affinity </w:t>
      </w:r>
      <w:r w:rsidR="00604B0A">
        <w:t>coalition</w:t>
      </w:r>
      <w:r w:rsidR="00FC72B8">
        <w:t xml:space="preserve"> (supported group)</w:t>
      </w:r>
      <w:r w:rsidR="00E97773">
        <w:t xml:space="preserve"> goes from 3</w:t>
      </w:r>
      <w:r w:rsidR="00227EE9">
        <w:t>0 to 49</w:t>
      </w:r>
      <w:r w:rsidR="00E97773">
        <w:t xml:space="preserve"> (new affinity of 0.34), while the 0.65 affinity </w:t>
      </w:r>
      <w:r w:rsidR="00604B0A">
        <w:t>coalition</w:t>
      </w:r>
      <w:r w:rsidR="00E97773">
        <w:t xml:space="preserve">s </w:t>
      </w:r>
      <w:proofErr w:type="gramStart"/>
      <w:r w:rsidR="00E97773">
        <w:t>goes</w:t>
      </w:r>
      <w:proofErr w:type="gramEnd"/>
      <w:r w:rsidR="00D0624B">
        <w:t xml:space="preserve"> down</w:t>
      </w:r>
      <w:r w:rsidR="00E97773">
        <w:t xml:space="preserve"> from 87 to 67 (new affinity of 0.69). </w:t>
      </w:r>
      <w:r w:rsidR="00FC72B8">
        <w:t xml:space="preserve"> </w:t>
      </w:r>
      <w:r w:rsidR="00E97773">
        <w:t xml:space="preserve">Interestingly, </w:t>
      </w:r>
      <w:r w:rsidR="00227EE9">
        <w:t xml:space="preserve">the impact of foreign support </w:t>
      </w:r>
      <w:r w:rsidR="00E97773">
        <w:t xml:space="preserve">at a marginal effectiveness of 1.4 </w:t>
      </w:r>
      <w:r w:rsidR="00227EE9">
        <w:t xml:space="preserve">is to </w:t>
      </w:r>
      <w:r w:rsidR="00FC72B8">
        <w:t xml:space="preserve">cause </w:t>
      </w:r>
      <w:r w:rsidR="00E97773">
        <w:t xml:space="preserve">a more </w:t>
      </w:r>
      <w:r w:rsidR="00FC72B8">
        <w:t xml:space="preserve">right leaning </w:t>
      </w:r>
      <w:r w:rsidR="00E97773">
        <w:t xml:space="preserve">affinity </w:t>
      </w:r>
      <w:r w:rsidR="00B35408">
        <w:t xml:space="preserve">to </w:t>
      </w:r>
      <w:r w:rsidR="00227EE9">
        <w:t xml:space="preserve">gain a majority </w:t>
      </w:r>
      <w:r w:rsidR="00FC72B8">
        <w:t xml:space="preserve">which they did not </w:t>
      </w:r>
      <w:r w:rsidR="00B35408">
        <w:t>gain in the non-</w:t>
      </w:r>
      <w:r w:rsidR="00E97773">
        <w:t>support</w:t>
      </w:r>
      <w:r w:rsidR="00B35408">
        <w:t>ed model run</w:t>
      </w:r>
      <w:r w:rsidR="00E97773">
        <w:t xml:space="preserve">. The 0.49 affinity </w:t>
      </w:r>
      <w:r w:rsidR="00604B0A">
        <w:t>coalition</w:t>
      </w:r>
      <w:r w:rsidR="00E97773">
        <w:t xml:space="preserve"> </w:t>
      </w:r>
      <w:r w:rsidR="00FC72B8">
        <w:t xml:space="preserve">(supported </w:t>
      </w:r>
      <w:r w:rsidR="00604B0A">
        <w:t>coalition</w:t>
      </w:r>
      <w:r w:rsidR="00FC72B8">
        <w:t xml:space="preserve">) </w:t>
      </w:r>
      <w:r w:rsidR="00E97773">
        <w:t xml:space="preserve">went from </w:t>
      </w:r>
      <w:r w:rsidR="00B35408">
        <w:t xml:space="preserve">an </w:t>
      </w:r>
      <w:proofErr w:type="gramStart"/>
      <w:r w:rsidR="00E97773">
        <w:t xml:space="preserve">83 </w:t>
      </w:r>
      <w:r w:rsidR="00B35408">
        <w:t>group</w:t>
      </w:r>
      <w:proofErr w:type="gramEnd"/>
      <w:r w:rsidR="00B35408">
        <w:t xml:space="preserve"> </w:t>
      </w:r>
      <w:r w:rsidR="00604B0A">
        <w:t>coalition</w:t>
      </w:r>
      <w:r w:rsidR="00E97773">
        <w:t xml:space="preserve"> to </w:t>
      </w:r>
      <w:r w:rsidR="00B35408">
        <w:t xml:space="preserve">a </w:t>
      </w:r>
      <w:r w:rsidR="00E97773">
        <w:t xml:space="preserve">29 </w:t>
      </w:r>
      <w:r w:rsidR="00B35408">
        <w:t xml:space="preserve">group </w:t>
      </w:r>
      <w:r w:rsidR="00604B0A">
        <w:t>coalition</w:t>
      </w:r>
      <w:r w:rsidR="00E97773">
        <w:t xml:space="preserve"> with a new affinity of (0.3) while the more extreme affinity </w:t>
      </w:r>
      <w:r w:rsidR="00604B0A">
        <w:t>coalition</w:t>
      </w:r>
      <w:r w:rsidR="00FC72B8">
        <w:t xml:space="preserve"> went fro</w:t>
      </w:r>
      <w:r w:rsidR="00E97773">
        <w:t xml:space="preserve">m </w:t>
      </w:r>
      <w:r w:rsidR="00FC72B8">
        <w:t xml:space="preserve">a </w:t>
      </w:r>
      <w:r w:rsidR="00E97773">
        <w:t>0.81</w:t>
      </w:r>
      <w:r w:rsidR="00FC72B8">
        <w:t xml:space="preserve"> affinity </w:t>
      </w:r>
      <w:r w:rsidR="00E97773">
        <w:t xml:space="preserve">and </w:t>
      </w:r>
      <w:r w:rsidR="00456263">
        <w:t xml:space="preserve">a </w:t>
      </w:r>
      <w:r w:rsidR="00E97773">
        <w:t xml:space="preserve">37 </w:t>
      </w:r>
      <w:r w:rsidR="00456263">
        <w:t xml:space="preserve">group </w:t>
      </w:r>
      <w:r w:rsidR="00604B0A">
        <w:t>coalition</w:t>
      </w:r>
      <w:r w:rsidR="00E97773">
        <w:t xml:space="preserve"> to 0.65 </w:t>
      </w:r>
      <w:r w:rsidR="00FC72B8">
        <w:t xml:space="preserve">affinity </w:t>
      </w:r>
      <w:r w:rsidR="00E97773">
        <w:t xml:space="preserve">and </w:t>
      </w:r>
      <w:r w:rsidR="00456263">
        <w:t xml:space="preserve">a </w:t>
      </w:r>
      <w:r w:rsidR="00E97773">
        <w:t xml:space="preserve">90 </w:t>
      </w:r>
      <w:r w:rsidR="00456263">
        <w:t xml:space="preserve">group </w:t>
      </w:r>
      <w:r w:rsidR="00604B0A">
        <w:t>coalition</w:t>
      </w:r>
      <w:r w:rsidR="00E97773">
        <w:t>. Fro</w:t>
      </w:r>
      <w:r w:rsidR="00FC72B8">
        <w:t>m these results</w:t>
      </w:r>
      <w:r w:rsidR="00E97773">
        <w:t>, support to a group on the left of the affinity scale ha</w:t>
      </w:r>
      <w:r w:rsidR="00FC72B8">
        <w:t>d</w:t>
      </w:r>
      <w:r w:rsidR="00E97773">
        <w:t xml:space="preserve"> the </w:t>
      </w:r>
      <w:proofErr w:type="spellStart"/>
      <w:r w:rsidR="00E97773">
        <w:t>affect</w:t>
      </w:r>
      <w:proofErr w:type="spellEnd"/>
      <w:r w:rsidR="00E97773">
        <w:t xml:space="preserve"> of making a larger </w:t>
      </w:r>
      <w:r w:rsidR="00604B0A">
        <w:t>coalition</w:t>
      </w:r>
      <w:r w:rsidR="00E97773">
        <w:t xml:space="preserve"> on the right side of the spectrum, although it </w:t>
      </w:r>
      <w:r w:rsidR="00E97773">
        <w:lastRenderedPageBreak/>
        <w:t xml:space="preserve">was not as far to the right. Support to one group on a specific part of the affinity spectrum has an interesting </w:t>
      </w:r>
      <w:proofErr w:type="spellStart"/>
      <w:r w:rsidR="00E97773">
        <w:t>affect</w:t>
      </w:r>
      <w:proofErr w:type="spellEnd"/>
      <w:r w:rsidR="00E97773">
        <w:t xml:space="preserve"> of increasing </w:t>
      </w:r>
      <w:r w:rsidR="00604B0A">
        <w:t>coalition</w:t>
      </w:r>
      <w:r w:rsidR="00E97773">
        <w:t xml:space="preserve">s with a marginal effectiveness parameter of 1.3 but </w:t>
      </w:r>
      <w:r w:rsidR="00FC72B8">
        <w:t xml:space="preserve">strengthening the non-supported </w:t>
      </w:r>
      <w:r w:rsidR="00E97773">
        <w:t>group with a marginal effectiveness parameter of 1.1 and 1</w:t>
      </w:r>
      <w:r w:rsidR="00FC72B8">
        <w:t xml:space="preserve">.4. </w:t>
      </w:r>
    </w:p>
    <w:p w:rsidR="0044318D" w:rsidRDefault="00FC72B8" w:rsidP="009F7A3B">
      <w:pPr>
        <w:spacing w:after="0" w:line="480" w:lineRule="auto"/>
        <w:ind w:firstLine="720"/>
      </w:pPr>
      <w:r>
        <w:t xml:space="preserve">Examining the results without the </w:t>
      </w:r>
      <w:r w:rsidR="00D0624B">
        <w:t xml:space="preserve">specifics </w:t>
      </w:r>
      <w:r>
        <w:t xml:space="preserve">of </w:t>
      </w:r>
      <w:r w:rsidR="00D0624B">
        <w:t xml:space="preserve">the </w:t>
      </w:r>
      <w:r>
        <w:t>Libya</w:t>
      </w:r>
      <w:r w:rsidR="00D0624B">
        <w:t>n context</w:t>
      </w:r>
      <w:r>
        <w:t xml:space="preserve"> produces three </w:t>
      </w:r>
      <w:r w:rsidR="00D80B94">
        <w:t xml:space="preserve">findings. First, the model </w:t>
      </w:r>
      <w:r w:rsidR="002F16A2">
        <w:t>h</w:t>
      </w:r>
      <w:r w:rsidR="00D80B94">
        <w:t xml:space="preserve">as a small boundary condition which produce the most interesting results. Outside of this condition, either groups do not form or they coalesce into one group. Second, the affinity of the majority </w:t>
      </w:r>
      <w:r w:rsidR="00604B0A">
        <w:t>coalition</w:t>
      </w:r>
      <w:r w:rsidR="00D80B94">
        <w:t xml:space="preserve"> changes based on the marginal effectiveness parameter, at 1.3 supporting a more fundamentalist majority while at 1.4 supporting a more moderate majority. Third, the impact of foreign aid to one group is also highly dependent on the marginal effectiveness parameter under a setting of 1.1 it has a marginal effect (increase to the support</w:t>
      </w:r>
      <w:r w:rsidR="00B61470">
        <w:t>ed</w:t>
      </w:r>
      <w:r w:rsidR="00D80B94">
        <w:t xml:space="preserve"> </w:t>
      </w:r>
      <w:r w:rsidR="00604B0A">
        <w:t>coalition</w:t>
      </w:r>
      <w:r w:rsidR="00D80B94">
        <w:t xml:space="preserve"> by 1), while under a setting of 1.3 it has a significant impact of increasing the supported </w:t>
      </w:r>
      <w:r w:rsidR="00604B0A">
        <w:t>coalition</w:t>
      </w:r>
      <w:r w:rsidR="00D80B94">
        <w:t xml:space="preserve"> by 19, but still not making a majority and a setting of 1.4 produces a </w:t>
      </w:r>
      <w:r w:rsidR="00B61470">
        <w:t>counterproductive</w:t>
      </w:r>
      <w:r w:rsidR="00D80B94">
        <w:t xml:space="preserve"> impact causing the supported </w:t>
      </w:r>
      <w:r w:rsidR="00604B0A">
        <w:t>coalition</w:t>
      </w:r>
      <w:r w:rsidR="00D80B94">
        <w:t xml:space="preserve"> to go down by 54.</w:t>
      </w:r>
      <w:r w:rsidR="0044318D">
        <w:tab/>
      </w:r>
    </w:p>
    <w:p w:rsidR="0036724B" w:rsidRPr="00FA412E" w:rsidRDefault="00A06B0D" w:rsidP="009F7A3B">
      <w:pPr>
        <w:pStyle w:val="Heading1"/>
        <w:spacing w:before="0" w:line="480" w:lineRule="auto"/>
      </w:pPr>
      <w:r>
        <w:t xml:space="preserve">4 Discussion </w:t>
      </w:r>
    </w:p>
    <w:p w:rsidR="009F7A3B" w:rsidRDefault="009F7A3B" w:rsidP="009F7A3B">
      <w:pPr>
        <w:pStyle w:val="Subtitle"/>
        <w:spacing w:after="0" w:line="480" w:lineRule="auto"/>
      </w:pPr>
      <w:r>
        <w:t>4.1 Discussion of Main Findings</w:t>
      </w:r>
    </w:p>
    <w:p w:rsidR="006B25CB" w:rsidRDefault="00A139E6" w:rsidP="009F7A3B">
      <w:pPr>
        <w:spacing w:after="0" w:line="480" w:lineRule="auto"/>
        <w:ind w:firstLine="720"/>
      </w:pPr>
      <w:r>
        <w:t>Adding the Libyan context and f</w:t>
      </w:r>
      <w:r w:rsidR="0036724B">
        <w:t>ollowing Axtell and Epstein’s model validation categories, I believe this model has achieved level 1 validation</w:t>
      </w:r>
      <w:r w:rsidR="0036724B">
        <w:fldChar w:fldCharType="begin" w:fldLock="1"/>
      </w:r>
      <w:r w:rsidR="006942F2">
        <w:instrText>ADDIN CSL_CITATION { "citationItems" : [ { "id" : "ITEM-1", "itemData" : { "author" : [ { "dropping-particle" : "", "family" : "Axtell", "given" : "Robert L", "non-dropping-particle" : "", "parse-names" : false, "suffix" : "" }, { "dropping-particle" : "", "family" : "Epstein", "given" : "Joshua M", "non-dropping-particle" : "", "parse-names" : false, "suffix" : "" } ], "container-title" : "The Bulletin of the Santa Fe Institute", "id" : "ITEM-1", "issued" : { "date-parts" : [ [ "1994" ] ] }, "page" : "28-32", "title" : "Agent-Based Modeling: Understanding Our Creations", "type" : "article-journal" }, "uris" : [ "http://www.mendeley.com/documents/?uuid=e1dbef9a-87c4-467a-99bb-aec33b50096a" ] } ], "mendeley" : { "formattedCitation" : "(R. L. Axtell and Epstein 1994)", "plainTextFormattedCitation" : "(R. L. Axtell and Epstein 1994)", "previouslyFormattedCitation" : "(R. L. Axtell and Epstein 1994)" }, "properties" : { "noteIndex" : 0 }, "schema" : "https://github.com/citation-style-language/schema/raw/master/csl-citation.json" }</w:instrText>
      </w:r>
      <w:r w:rsidR="0036724B">
        <w:fldChar w:fldCharType="separate"/>
      </w:r>
      <w:r w:rsidR="006942F2" w:rsidRPr="006942F2">
        <w:rPr>
          <w:noProof/>
        </w:rPr>
        <w:t>(R. L. Axtell and Epstein 1994)</w:t>
      </w:r>
      <w:r w:rsidR="0036724B">
        <w:fldChar w:fldCharType="end"/>
      </w:r>
      <w:r w:rsidR="0036724B">
        <w:t xml:space="preserve"> with a compromise parameter input between 0.1 and 0.3 and a marginal effectiveness inpu</w:t>
      </w:r>
      <w:r>
        <w:t>t between 1.1 and 1.4</w:t>
      </w:r>
      <w:r w:rsidR="0036724B">
        <w:t xml:space="preserve">.  These settings produce multiple tribes with </w:t>
      </w:r>
      <w:r w:rsidR="00604B0A">
        <w:t>coalition</w:t>
      </w:r>
      <w:r w:rsidR="0036724B">
        <w:t xml:space="preserve">s consistent with known </w:t>
      </w:r>
      <w:r w:rsidR="00604B0A">
        <w:t>coalition</w:t>
      </w:r>
      <w:r w:rsidR="0036724B">
        <w:t xml:space="preserve">s in Libya without the addition of a substantial amount of new foreign support to </w:t>
      </w:r>
      <w:r w:rsidR="00456263">
        <w:t>one</w:t>
      </w:r>
      <w:r w:rsidR="0036724B">
        <w:t xml:space="preserve"> or multiple groups. The impact of foreign aid to one major group also stylistically agrees with macro-level experiences in Afghanistan, where financial and military aid to a specific group makes them more powerful, but </w:t>
      </w:r>
      <w:r>
        <w:t xml:space="preserve">can </w:t>
      </w:r>
      <w:r w:rsidR="0036724B">
        <w:t>decrease the number of groups with whom they are</w:t>
      </w:r>
      <w:r w:rsidR="00ED798E">
        <w:t xml:space="preserve"> </w:t>
      </w:r>
      <w:r w:rsidR="0036724B">
        <w:t xml:space="preserve">incentivized to form an </w:t>
      </w:r>
      <w:r w:rsidR="00604B0A">
        <w:t>coalition</w:t>
      </w:r>
      <w:r w:rsidR="0036724B">
        <w:t xml:space="preserve"> </w:t>
      </w:r>
      <w:r>
        <w:t xml:space="preserve">while increasing the </w:t>
      </w:r>
      <w:r w:rsidR="00604B0A">
        <w:t>coalition</w:t>
      </w:r>
      <w:r>
        <w:t xml:space="preserve"> number of potential adversaries</w:t>
      </w:r>
      <w:r w:rsidR="00C63391">
        <w:t xml:space="preserve"> </w:t>
      </w:r>
      <w:r w:rsidR="00C63391">
        <w:fldChar w:fldCharType="begin" w:fldLock="1"/>
      </w:r>
      <w:r w:rsidR="00BD30C4">
        <w:instrText>ADDIN CSL_CITATION { "citationItems" : [ { "id" : "ITEM-1", "itemData" : { "author" : [ { "dropping-particle" : "", "family" : "Kilcullen", "given" : "David", "non-dropping-particle" : "", "parse-names" : false, "suffix" : "" } ], "id" : "ITEM-1", "issued" : { "date-parts" : [ [ "2010" ] ] }, "publisher" : "Oxford University Press", "publisher-place" : "Oxford", "title" : "Counterinsurgency", "type" : "book" }, "uris" : [ "http://www.mendeley.com/documents/?uuid=63366db3-4bc8-4609-8d9b-737c2cb03654" ] } ], "mendeley" : { "formattedCitation" : "(Kilcullen 2010)", "plainTextFormattedCitation" : "(Kilcullen 2010)", "previouslyFormattedCitation" : "(Kilcullen 2010)" }, "properties" : { "noteIndex" : 0 }, "schema" : "https://github.com/citation-style-language/schema/raw/master/csl-citation.json" }</w:instrText>
      </w:r>
      <w:r w:rsidR="00C63391">
        <w:fldChar w:fldCharType="separate"/>
      </w:r>
      <w:r w:rsidR="00C63391" w:rsidRPr="00C63391">
        <w:rPr>
          <w:noProof/>
        </w:rPr>
        <w:t>(Kilcullen 2010)</w:t>
      </w:r>
      <w:r w:rsidR="00C63391">
        <w:fldChar w:fldCharType="end"/>
      </w:r>
      <w:r w:rsidR="0036724B">
        <w:t>.</w:t>
      </w:r>
      <w:r w:rsidR="00ED798E">
        <w:t xml:space="preserve"> </w:t>
      </w:r>
      <w:r w:rsidR="001474FD">
        <w:t xml:space="preserve">The specifics of </w:t>
      </w:r>
      <w:r>
        <w:t xml:space="preserve">the </w:t>
      </w:r>
      <w:r w:rsidR="00604B0A">
        <w:t>coalition</w:t>
      </w:r>
      <w:r w:rsidR="001474FD">
        <w:t xml:space="preserve">s also </w:t>
      </w:r>
      <w:proofErr w:type="gramStart"/>
      <w:r w:rsidR="00E918F1">
        <w:t>produces</w:t>
      </w:r>
      <w:proofErr w:type="gramEnd"/>
      <w:r w:rsidR="00E918F1">
        <w:t xml:space="preserve"> simplistic agreement</w:t>
      </w:r>
      <w:r w:rsidR="001474FD">
        <w:t xml:space="preserve"> with known </w:t>
      </w:r>
      <w:r w:rsidR="00604B0A">
        <w:t>coalition</w:t>
      </w:r>
      <w:r w:rsidR="001474FD">
        <w:t>s</w:t>
      </w:r>
      <w:r w:rsidR="00E918F1">
        <w:t xml:space="preserve"> in </w:t>
      </w:r>
      <w:proofErr w:type="spellStart"/>
      <w:r w:rsidR="00E918F1">
        <w:t>Tobruk</w:t>
      </w:r>
      <w:proofErr w:type="spellEnd"/>
      <w:r w:rsidR="00E918F1">
        <w:t xml:space="preserve">, Sabha and Bani Walid, </w:t>
      </w:r>
      <w:r>
        <w:t xml:space="preserve">and </w:t>
      </w:r>
      <w:r w:rsidR="00E918F1">
        <w:t xml:space="preserve">less detailed agreement in Sirte, </w:t>
      </w:r>
      <w:r w:rsidR="00E918F1">
        <w:lastRenderedPageBreak/>
        <w:t xml:space="preserve">Benghazi and </w:t>
      </w:r>
      <w:proofErr w:type="spellStart"/>
      <w:r w:rsidR="00E918F1">
        <w:t>Derna</w:t>
      </w:r>
      <w:proofErr w:type="spellEnd"/>
      <w:r w:rsidR="00E918F1">
        <w:t xml:space="preserve">. </w:t>
      </w:r>
      <w:r w:rsidR="00ED798E">
        <w:t xml:space="preserve">The lack of </w:t>
      </w:r>
      <w:r w:rsidR="0095651A">
        <w:t xml:space="preserve">in depth knowledge of local group affinity and power variables prevents a complete </w:t>
      </w:r>
      <w:r w:rsidR="003B4179">
        <w:t xml:space="preserve">validation of </w:t>
      </w:r>
      <w:r w:rsidR="00604B0A">
        <w:t>coalition</w:t>
      </w:r>
      <w:r w:rsidR="0095651A">
        <w:t xml:space="preserve"> formation. This, however, helps emphasize the value of such models in trying to assess </w:t>
      </w:r>
      <w:r w:rsidR="003B4179">
        <w:t>complex situations</w:t>
      </w:r>
      <w:r w:rsidR="0095651A">
        <w:t>.</w:t>
      </w:r>
      <w:r w:rsidR="003B4179">
        <w:t xml:space="preserve"> Analysts can make inferences about unknown variables </w:t>
      </w:r>
      <w:r>
        <w:t xml:space="preserve">which can </w:t>
      </w:r>
      <w:proofErr w:type="gramStart"/>
      <w:r>
        <w:t>be</w:t>
      </w:r>
      <w:r w:rsidR="00C63391">
        <w:t xml:space="preserve"> explored</w:t>
      </w:r>
      <w:proofErr w:type="gramEnd"/>
      <w:r w:rsidR="00C63391">
        <w:t xml:space="preserve"> and </w:t>
      </w:r>
      <w:r>
        <w:t xml:space="preserve">tested with the model. </w:t>
      </w:r>
      <w:r w:rsidR="00ED798E">
        <w:t>Placing the results of the model in the context of known Libyan dynamics</w:t>
      </w:r>
      <w:r w:rsidR="003B4179">
        <w:t xml:space="preserve"> shows agreement with estimates of </w:t>
      </w:r>
      <w:r w:rsidR="00604B0A">
        <w:t>coalition</w:t>
      </w:r>
      <w:r w:rsidR="003B4179">
        <w:t xml:space="preserve"> formations as well as </w:t>
      </w:r>
      <w:r w:rsidR="00E918F1">
        <w:t xml:space="preserve">simplistic agreement with </w:t>
      </w:r>
      <w:r w:rsidR="003B4179">
        <w:t>know</w:t>
      </w:r>
      <w:r>
        <w:t>n</w:t>
      </w:r>
      <w:r w:rsidR="003B4179">
        <w:t xml:space="preserve"> group </w:t>
      </w:r>
      <w:r w:rsidR="00604B0A">
        <w:t>coalition</w:t>
      </w:r>
      <w:r w:rsidR="003B4179">
        <w:t xml:space="preserve">s. </w:t>
      </w:r>
    </w:p>
    <w:p w:rsidR="000B37A4" w:rsidRDefault="00C63391" w:rsidP="009F7A3B">
      <w:pPr>
        <w:spacing w:after="0" w:line="480" w:lineRule="auto"/>
      </w:pPr>
      <w:r>
        <w:tab/>
        <w:t xml:space="preserve">The boundary condition has varying </w:t>
      </w:r>
      <w:r w:rsidR="00604B0A">
        <w:t>coalition</w:t>
      </w:r>
      <w:r>
        <w:t xml:space="preserve"> formations which can </w:t>
      </w:r>
      <w:proofErr w:type="gramStart"/>
      <w:r>
        <w:t>be argued</w:t>
      </w:r>
      <w:proofErr w:type="gramEnd"/>
      <w:r>
        <w:t xml:space="preserve"> as an accurate representation of current Libyan dynamics. </w:t>
      </w:r>
      <w:r w:rsidR="007D4C56">
        <w:t xml:space="preserve">At its most general, this second portion of the Libyan civil war is between three major ideologies. The fundamentalists in the West, the </w:t>
      </w:r>
      <w:r w:rsidR="00BD30C4">
        <w:t>nationalists</w:t>
      </w:r>
      <w:r w:rsidR="007D4C56">
        <w:t xml:space="preserve"> in the East, and the extremists scattered in different strongholds. The marginal effectiveness inputs of 1.2 to 1.4 generally recreates this same phenomenon with the </w:t>
      </w:r>
      <w:r w:rsidR="00BD30C4">
        <w:t xml:space="preserve">nationalists </w:t>
      </w:r>
      <w:r w:rsidR="007D4C56">
        <w:t>in groups allied from 0.3 to 0.45 and the fundamentalists allied between 0.65 and 0.81, with their being varying numbers of extremists based on how the rest of the population allies. With the input</w:t>
      </w:r>
      <w:r w:rsidR="00456263">
        <w:t xml:space="preserve"> parameter </w:t>
      </w:r>
      <w:r>
        <w:t xml:space="preserve">of compromise 0.1 and marginal effectiveness 1.1, there are </w:t>
      </w:r>
      <w:r w:rsidR="007D4C56">
        <w:t xml:space="preserve">nine </w:t>
      </w:r>
      <w:r w:rsidR="00604B0A">
        <w:t>coalition</w:t>
      </w:r>
      <w:r w:rsidR="007D4C56">
        <w:t xml:space="preserve">s. There are two groups toward the middle 0.67 and 0.54, and two other groups on the extreme who are smaller at 0.81 and 0.33. Then there is a handful of non-allied groups on each end and one at 0.44 (figure </w:t>
      </w:r>
      <w:r w:rsidR="00456263">
        <w:t>6</w:t>
      </w:r>
      <w:r w:rsidR="007D4C56">
        <w:t xml:space="preserve">). This can also </w:t>
      </w:r>
      <w:proofErr w:type="gramStart"/>
      <w:r w:rsidR="007D4C56">
        <w:t>be seen as</w:t>
      </w:r>
      <w:proofErr w:type="gramEnd"/>
      <w:r w:rsidR="007D4C56">
        <w:t xml:space="preserve"> a more specific representation </w:t>
      </w:r>
      <w:r w:rsidR="00491847">
        <w:t xml:space="preserve">of Libyan </w:t>
      </w:r>
      <w:r w:rsidR="00604B0A">
        <w:t>coalition</w:t>
      </w:r>
      <w:r w:rsidR="00491847">
        <w:t xml:space="preserve">s. The Libyan dawn coalition in the East collapsed. In the east there are </w:t>
      </w:r>
      <w:r w:rsidR="00604B0A">
        <w:t>coalition</w:t>
      </w:r>
      <w:r w:rsidR="00491847">
        <w:t>s which are more right leaning and have significant amounts of power and population, while the West has a powerful minority and at the time of the writing seems unable or unwilling to move into the more densely populated West</w:t>
      </w:r>
      <w:r w:rsidR="00BD30C4">
        <w:t xml:space="preserve"> </w:t>
      </w:r>
      <w:r w:rsidR="00BD30C4">
        <w:fldChar w:fldCharType="begin" w:fldLock="1"/>
      </w:r>
      <w:r w:rsidR="00740FB0">
        <w:instrText>ADDIN CSL_CITATION { "citationItems" : [ { "id" : "ITEM-1", "itemData" : { "ISBN" : "9781601276124", "author" : [ { "dropping-particle" : "", "family" : "Cole", "given" : "Peter", "non-dropping-particle" : "", "parse-names" : false, "suffix" : "" }, { "dropping-particle" : "", "family" : "Mangan", "given" : "Fiona", "non-dropping-particle" : "", "parse-names" : false, "suffix" : "" } ], "id" : "ITEM-1", "issued" : { "date-parts" : [ [ "2016" ] ] }, "publisher-place" : "Washington D.C.", "title" : "TRIBE, SECURITY, JUSTICE, AND PEACE LIBYA IN LIBYA TODAY", "type" : "report" }, "uris" : [ "http://www.mendeley.com/documents/?uuid=f92e6446-0021-4a93-8b60-e04091ede8df" ] }, { "id" : "ITEM-2", "itemData" : { "abstract" : "Introduction In Libya there are very few truly national actors. The vast majority are local players, some of whom are relevant at the national level while representing the interests of their region, or in most cases, their city. Many important actors, particularly outside of the largest cities, also have tribal allegiances.", "author" : [ { "dropping-particle" : "", "family" : "Fitzgerald", "given" : "Mary ( European Foreign Relations Council)", "non-dropping-particle" : "", "parse-names" : false, "suffix" : "" } ], "id" : "ITEM-2", "issued" : { "date-parts" : [ [ "2015" ] ] }, "title" : "A Quick Guide To Libya\u2019s Main Players", "type" : "article-journal" }, "uris" : [ "http://www.mendeley.com/documents/?uuid=69fcadc3-b4d7-4af5-9d41-dc58aa800330" ] }, { "id" : "ITEM-3", "itemData" : { "ISSN" : "10739467", "author" : [ { "dropping-particle" : "", "family" : "Ronen", "given" : "Yehudit", "non-dropping-particle" : "", "parse-names" : false, "suffix" : "" } ], "container-title" : "Middle East Quarterly", "id" : "ITEM-3", "issue" : "1", "issued" : { "date-parts" : [ [ "2016" ] ] }, "page" : "1-9", "title" : "Libya's descent into chaos", "type" : "article-journal", "volume" : "23" }, "uris" : [ "http://www.mendeley.com/documents/?uuid=83533e90-20eb-4aab-87da-914b4f1f633f" ] } ], "mendeley" : { "formattedCitation" : "(Cole and Mangan 2016; Fitzgerald 2015; Ronen 2016)", "plainTextFormattedCitation" : "(Cole and Mangan 2016; Fitzgerald 2015; Ronen 2016)", "previouslyFormattedCitation" : "(Cole and Mangan 2016; Fitzgerald 2015; Ronen 2016)" }, "properties" : { "noteIndex" : 0 }, "schema" : "https://github.com/citation-style-language/schema/raw/master/csl-citation.json" }</w:instrText>
      </w:r>
      <w:r w:rsidR="00BD30C4">
        <w:fldChar w:fldCharType="separate"/>
      </w:r>
      <w:r w:rsidR="00BD30C4" w:rsidRPr="00BD30C4">
        <w:rPr>
          <w:noProof/>
        </w:rPr>
        <w:t>(Cole and Mangan 2016; Fitzgerald 2015; Ronen 2016)</w:t>
      </w:r>
      <w:r w:rsidR="00BD30C4">
        <w:fldChar w:fldCharType="end"/>
      </w:r>
      <w:r w:rsidR="00491847">
        <w:t>.</w:t>
      </w:r>
      <w:r w:rsidR="00BD30C4">
        <w:t xml:space="preserve"> </w:t>
      </w:r>
      <w:r w:rsidR="00491847">
        <w:t xml:space="preserve"> The parameters within the boundary condition produce a range of </w:t>
      </w:r>
      <w:r w:rsidR="00604B0A">
        <w:t>coalition</w:t>
      </w:r>
      <w:r w:rsidR="00491847">
        <w:t xml:space="preserve"> sizes and affinities </w:t>
      </w:r>
      <w:r w:rsidR="00456263">
        <w:t xml:space="preserve">which are arguably </w:t>
      </w:r>
      <w:r w:rsidR="00491847">
        <w:t xml:space="preserve">consistent with the major Libyan </w:t>
      </w:r>
      <w:r w:rsidR="00604B0A">
        <w:t>coalition</w:t>
      </w:r>
      <w:r w:rsidR="00491847">
        <w:t>s</w:t>
      </w:r>
      <w:r w:rsidR="00BD30C4">
        <w:t xml:space="preserve">. </w:t>
      </w:r>
    </w:p>
    <w:p w:rsidR="000B37A4" w:rsidRDefault="00491847" w:rsidP="009F7A3B">
      <w:pPr>
        <w:spacing w:after="0" w:line="480" w:lineRule="auto"/>
        <w:ind w:firstLine="720"/>
      </w:pPr>
      <w:r>
        <w:t xml:space="preserve">The specifics of the Libyan </w:t>
      </w:r>
      <w:r w:rsidR="00604B0A">
        <w:t>coalition</w:t>
      </w:r>
      <w:r>
        <w:t xml:space="preserve">s also show simplistic agreement with </w:t>
      </w:r>
      <w:r w:rsidR="00BD30C4">
        <w:t xml:space="preserve">known Libyan </w:t>
      </w:r>
      <w:r w:rsidR="00604B0A">
        <w:t>coalition</w:t>
      </w:r>
      <w:r w:rsidR="00BD30C4">
        <w:t xml:space="preserve">s. In </w:t>
      </w:r>
      <w:proofErr w:type="spellStart"/>
      <w:r w:rsidR="00BD30C4">
        <w:t>Tobruk</w:t>
      </w:r>
      <w:proofErr w:type="spellEnd"/>
      <w:r w:rsidR="00BD30C4">
        <w:t xml:space="preserve">, </w:t>
      </w:r>
      <w:proofErr w:type="spellStart"/>
      <w:r w:rsidR="00BD30C4">
        <w:t>Sa’ada</w:t>
      </w:r>
      <w:proofErr w:type="spellEnd"/>
      <w:r w:rsidR="00BD30C4">
        <w:t xml:space="preserve"> tribes (which includes the </w:t>
      </w:r>
      <w:r w:rsidR="00456263">
        <w:t>a</w:t>
      </w:r>
      <w:r w:rsidR="00BD30C4">
        <w:t>l-</w:t>
      </w:r>
      <w:proofErr w:type="spellStart"/>
      <w:r w:rsidR="00BD30C4">
        <w:t>Uba</w:t>
      </w:r>
      <w:r w:rsidR="00456263">
        <w:t>i</w:t>
      </w:r>
      <w:r w:rsidR="00BD30C4">
        <w:t>dat</w:t>
      </w:r>
      <w:proofErr w:type="spellEnd"/>
      <w:r w:rsidR="00BD30C4">
        <w:t xml:space="preserve">) have </w:t>
      </w:r>
      <w:proofErr w:type="gramStart"/>
      <w:r w:rsidR="00BD30C4">
        <w:t>an</w:t>
      </w:r>
      <w:proofErr w:type="gramEnd"/>
      <w:r w:rsidR="00BD30C4">
        <w:t xml:space="preserve"> </w:t>
      </w:r>
      <w:r w:rsidR="00604B0A">
        <w:t>coalition</w:t>
      </w:r>
      <w:r w:rsidR="00BD30C4">
        <w:t xml:space="preserve"> with the </w:t>
      </w:r>
      <w:proofErr w:type="spellStart"/>
      <w:r w:rsidR="00BD30C4">
        <w:t>Murabitin</w:t>
      </w:r>
      <w:proofErr w:type="spellEnd"/>
      <w:r w:rsidR="00BD30C4">
        <w:t xml:space="preserve"> </w:t>
      </w:r>
      <w:r w:rsidR="00BD30C4">
        <w:lastRenderedPageBreak/>
        <w:t xml:space="preserve">tribes (which includes </w:t>
      </w:r>
      <w:proofErr w:type="spellStart"/>
      <w:r w:rsidR="00BD30C4">
        <w:t>Qunashat</w:t>
      </w:r>
      <w:proofErr w:type="spellEnd"/>
      <w:r w:rsidR="00BD30C4">
        <w:t xml:space="preserve">, </w:t>
      </w:r>
      <w:proofErr w:type="spellStart"/>
      <w:r w:rsidR="00BD30C4">
        <w:t>Habun</w:t>
      </w:r>
      <w:proofErr w:type="spellEnd"/>
      <w:r w:rsidR="00BD30C4">
        <w:t xml:space="preserve">, </w:t>
      </w:r>
      <w:proofErr w:type="spellStart"/>
      <w:r w:rsidR="00BD30C4">
        <w:t>Qutan</w:t>
      </w:r>
      <w:proofErr w:type="spellEnd"/>
      <w:r w:rsidR="00BD30C4">
        <w:t xml:space="preserve"> and </w:t>
      </w:r>
      <w:proofErr w:type="spellStart"/>
      <w:r w:rsidR="00BD30C4">
        <w:t>Mnaffa</w:t>
      </w:r>
      <w:proofErr w:type="spellEnd"/>
      <w:r w:rsidR="00BD30C4">
        <w:t xml:space="preserve">). </w:t>
      </w:r>
      <w:r w:rsidR="00740FB0">
        <w:t xml:space="preserve">These </w:t>
      </w:r>
      <w:r w:rsidR="00604B0A">
        <w:t>coalition</w:t>
      </w:r>
      <w:r w:rsidR="00740FB0">
        <w:t xml:space="preserve">s </w:t>
      </w:r>
      <w:proofErr w:type="gramStart"/>
      <w:r w:rsidR="00740FB0">
        <w:t>are replicated</w:t>
      </w:r>
      <w:proofErr w:type="gramEnd"/>
      <w:r w:rsidR="00740FB0">
        <w:t xml:space="preserve"> in the model as these groups align under the various boundary condition parameters. The reason the model shows simplistic agreement is because in reality the </w:t>
      </w:r>
      <w:r w:rsidR="00604B0A">
        <w:t>coalition</w:t>
      </w:r>
      <w:r w:rsidR="00740FB0">
        <w:t xml:space="preserve"> is tense and requires very complex mechanisms to maintain the </w:t>
      </w:r>
      <w:r w:rsidR="00604B0A">
        <w:t>coalition</w:t>
      </w:r>
      <w:r w:rsidR="00740FB0">
        <w:t xml:space="preserve"> which the model is unable to replicate </w:t>
      </w:r>
      <w:r w:rsidR="00740FB0">
        <w:fldChar w:fldCharType="begin" w:fldLock="1"/>
      </w:r>
      <w:r w:rsidR="008D6D99">
        <w:instrText>ADDIN CSL_CITATION { "citationItems" : [ { "id" : "ITEM-1", "itemData" : { "DOI" : "10.1093/acprof", "ISBN" : "9780199682676", "ISSN" : "0873626X", "PMID" : "16683413", "abstract" : "This chapter examines Libya\u2019s eastern region from September 2011 to June 2012 and the socioeconomic drivers behind the growth of Islamism and \u201cfederalism\u201d. It charts its history as a traditional and cohesive region structured around the Sanusiyya religious order and Bedouin tribal system, and describes how the federal constitutional state of 1951 was transformed by the discovery of oil and centralization of the state. It traces the reemergence of tribal structures during the 17 February Revolution, and, in parallel, of political activism and civil society, as well as Islamist groups hostile to the old tribal elites. It describes how some easterners and NTC members rejected the NTC after its move to Tripoli and wished to reinstate the 1951 federal constitution, arguing this movement fear a return to the status quo and tried to exploit \u201ctribal \u00bb identities and memories of the King Idris monarchy, but failed because of demographic shifts and alternative modalities of political organization that limited the appeal of tribal structures. Likewise, the tribes themselves differed over the way forward. It concludes by noting that control of oil and water resources, and Libyan sensitivities to the east\u2019s role in shaping Libya\u2019s politics, will influence the region\u2019s future.", "author" : [ { "dropping-particle" : "", "family" : "Kane", "given" : "Sean", "non-dropping-particle" : "", "parse-names" : false, "suffix" : "" } ], "chapter-number" : "10", "container-title" : "The Libyan Revolution and its Aftermath2", "editor" : [ { "dropping-particle" : "", "family" : "Cole", "given" : "Peter", "non-dropping-particle" : "", "parse-names" : false, "suffix" : "" }, { "dropping-particle" : "", "family" : "McQuinn", "given" : "Brian", "non-dropping-particle" : "", "parse-names" : false, "suffix" : "" } ], "id" : "ITEM-1", "issued" : { "date-parts" : [ [ "2015" ] ] }, "publisher" : "Oxford University Press", "publisher-place" : "Oxford", "title" : "Barqa Reborn? Eastern Regionalism and Libya\u2019s Political Transition", "type" : "chapter" }, "uris" : [ "http://www.mendeley.com/documents/?uuid=8acd0893-77e5-4bb4-8015-817a9fb2ab0d" ] } ], "mendeley" : { "formattedCitation" : "(Kane 2015)", "plainTextFormattedCitation" : "(Kane 2015)", "previouslyFormattedCitation" : "(Kane 2015)" }, "properties" : { "noteIndex" : 0 }, "schema" : "https://github.com/citation-style-language/schema/raw/master/csl-citation.json" }</w:instrText>
      </w:r>
      <w:r w:rsidR="00740FB0">
        <w:fldChar w:fldCharType="separate"/>
      </w:r>
      <w:r w:rsidR="00740FB0" w:rsidRPr="00740FB0">
        <w:rPr>
          <w:noProof/>
        </w:rPr>
        <w:t>(Kane 2015)</w:t>
      </w:r>
      <w:r w:rsidR="00740FB0">
        <w:fldChar w:fldCharType="end"/>
      </w:r>
      <w:r w:rsidR="00740FB0">
        <w:t xml:space="preserve">. </w:t>
      </w:r>
      <w:r w:rsidR="008D6D99">
        <w:t xml:space="preserve">In Sabha, the model shows </w:t>
      </w:r>
      <w:r w:rsidR="00604B0A">
        <w:t>coalition</w:t>
      </w:r>
      <w:r w:rsidR="008D6D99">
        <w:t xml:space="preserve">s with </w:t>
      </w:r>
      <w:proofErr w:type="spellStart"/>
      <w:r w:rsidR="008D6D99">
        <w:t>Awlad</w:t>
      </w:r>
      <w:proofErr w:type="spellEnd"/>
      <w:r w:rsidR="008D6D99">
        <w:t xml:space="preserve"> </w:t>
      </w:r>
      <w:proofErr w:type="spellStart"/>
      <w:r w:rsidR="008D6D99">
        <w:t>Sulaiman</w:t>
      </w:r>
      <w:proofErr w:type="spellEnd"/>
      <w:r w:rsidR="008D6D99">
        <w:t xml:space="preserve"> and </w:t>
      </w:r>
      <w:proofErr w:type="spellStart"/>
      <w:r w:rsidR="008D6D99">
        <w:t>Masrata</w:t>
      </w:r>
      <w:proofErr w:type="spellEnd"/>
      <w:r w:rsidR="008D6D99">
        <w:t xml:space="preserve"> tribes. The </w:t>
      </w:r>
      <w:proofErr w:type="spellStart"/>
      <w:r w:rsidR="008D6D99">
        <w:t>Tuareq</w:t>
      </w:r>
      <w:proofErr w:type="spellEnd"/>
      <w:r w:rsidR="008D6D99">
        <w:t xml:space="preserve"> who are active in the trading networks ally with the more moderate majority, which is arguably consistent with the role as an ethnic minority, who will opportunistically ally to serve their own purposes </w:t>
      </w:r>
      <w:r w:rsidR="008D6D99">
        <w:fldChar w:fldCharType="begin" w:fldLock="1"/>
      </w:r>
      <w:r w:rsidR="006D79FB">
        <w:instrText>ADDIN CSL_CITATION { "citationItems" : [ { "id" : "ITEM-1", "itemData" : { "ISBN" : "9781601276124", "author" : [ { "dropping-particle" : "", "family" : "Cole", "given" : "Peter", "non-dropping-particle" : "", "parse-names" : false, "suffix" : "" }, { "dropping-particle" : "", "family" : "Mangan", "given" : "Fiona", "non-dropping-particle" : "", "parse-names" : false, "suffix" : "" } ], "id" : "ITEM-1", "issued" : { "date-parts" : [ [ "2016" ] ] }, "publisher-place" : "Washington D.C.", "title" : "TRIBE, SECURITY, JUSTICE, AND PEACE LIBYA IN LIBYA TODAY", "type" : "report" }, "uris" : [ "http://www.mendeley.com/documents/?uuid=f92e6446-0021-4a93-8b60-e04091ede8df" ] } ], "mendeley" : { "formattedCitation" : "(Cole and Mangan 2016)", "plainTextFormattedCitation" : "(Cole and Mangan 2016)", "previouslyFormattedCitation" : "(Cole and Mangan 2016)" }, "properties" : { "noteIndex" : 0 }, "schema" : "https://github.com/citation-style-language/schema/raw/master/csl-citation.json" }</w:instrText>
      </w:r>
      <w:r w:rsidR="008D6D99">
        <w:fldChar w:fldCharType="separate"/>
      </w:r>
      <w:r w:rsidR="008D6D99" w:rsidRPr="008D6D99">
        <w:rPr>
          <w:noProof/>
        </w:rPr>
        <w:t>(Cole and Mangan 2016)</w:t>
      </w:r>
      <w:r w:rsidR="008D6D99">
        <w:fldChar w:fldCharType="end"/>
      </w:r>
      <w:r w:rsidR="008D6D99">
        <w:t xml:space="preserve">. </w:t>
      </w:r>
      <w:r w:rsidR="006D79FB">
        <w:t xml:space="preserve">The story for Bani Walid is more complex. The town </w:t>
      </w:r>
      <w:proofErr w:type="gramStart"/>
      <w:r w:rsidR="006D79FB">
        <w:t>is made</w:t>
      </w:r>
      <w:proofErr w:type="gramEnd"/>
      <w:r w:rsidR="006D79FB">
        <w:t xml:space="preserve"> up of five </w:t>
      </w:r>
      <w:proofErr w:type="spellStart"/>
      <w:r w:rsidR="006D79FB">
        <w:t>Warfalla</w:t>
      </w:r>
      <w:proofErr w:type="spellEnd"/>
      <w:r w:rsidR="006D79FB">
        <w:t xml:space="preserve"> sub-tribes (</w:t>
      </w:r>
      <w:proofErr w:type="spellStart"/>
      <w:r w:rsidR="006D79FB">
        <w:t>Sa’dat</w:t>
      </w:r>
      <w:proofErr w:type="spellEnd"/>
      <w:r w:rsidR="006D79FB">
        <w:t xml:space="preserve">, </w:t>
      </w:r>
      <w:proofErr w:type="spellStart"/>
      <w:r w:rsidR="006D79FB">
        <w:t>Jmamla</w:t>
      </w:r>
      <w:proofErr w:type="spellEnd"/>
      <w:r w:rsidR="006D79FB">
        <w:t xml:space="preserve">, </w:t>
      </w:r>
      <w:proofErr w:type="spellStart"/>
      <w:r w:rsidR="006D79FB">
        <w:t>Sabayi</w:t>
      </w:r>
      <w:proofErr w:type="spellEnd"/>
      <w:r w:rsidR="006D79FB">
        <w:t xml:space="preserve"> and 2 </w:t>
      </w:r>
      <w:proofErr w:type="spellStart"/>
      <w:r w:rsidR="006D79FB">
        <w:t>Mtarfa</w:t>
      </w:r>
      <w:proofErr w:type="spellEnd"/>
      <w:r w:rsidR="006D79FB">
        <w:t xml:space="preserve"> tribes). Internally, the </w:t>
      </w:r>
      <w:proofErr w:type="spellStart"/>
      <w:r w:rsidR="006D79FB">
        <w:t>Mtarfa</w:t>
      </w:r>
      <w:proofErr w:type="spellEnd"/>
      <w:r w:rsidR="006D79FB">
        <w:t xml:space="preserve"> feel like an oppressed minority who tried to take control of Bani Walid by aligning with Islamists</w:t>
      </w:r>
      <w:r w:rsidR="008C6828">
        <w:t xml:space="preserve"> after Gaddafi’s fall</w:t>
      </w:r>
      <w:r w:rsidR="006D79FB">
        <w:t xml:space="preserve">. Bani Walid as a city, however, was punished by Gaddafi for decades as it </w:t>
      </w:r>
      <w:proofErr w:type="gramStart"/>
      <w:r w:rsidR="006D79FB">
        <w:t>was seen as</w:t>
      </w:r>
      <w:proofErr w:type="gramEnd"/>
      <w:r w:rsidR="006D79FB">
        <w:t xml:space="preserve"> the origin of a failed coup in the </w:t>
      </w:r>
      <w:proofErr w:type="spellStart"/>
      <w:r w:rsidR="006D79FB">
        <w:t>1990s</w:t>
      </w:r>
      <w:proofErr w:type="spellEnd"/>
      <w:r w:rsidR="006D79FB">
        <w:t>. This made the dominate three tribes unwilling to rebel in 2011 and have tried to keep their city out of the civil war after retaking the town f</w:t>
      </w:r>
      <w:r w:rsidR="008C6828">
        <w:t>r</w:t>
      </w:r>
      <w:r w:rsidR="006D79FB">
        <w:t xml:space="preserve">om the </w:t>
      </w:r>
      <w:proofErr w:type="spellStart"/>
      <w:r w:rsidR="006D79FB">
        <w:t>Mtarfa</w:t>
      </w:r>
      <w:proofErr w:type="spellEnd"/>
      <w:r w:rsidR="006D79FB">
        <w:t xml:space="preserve"> and </w:t>
      </w:r>
      <w:r w:rsidR="00456263">
        <w:t xml:space="preserve">more extreme Islamic </w:t>
      </w:r>
      <w:r w:rsidR="008C6828">
        <w:t>groups</w:t>
      </w:r>
      <w:r w:rsidR="006D79FB">
        <w:t xml:space="preserve"> </w:t>
      </w:r>
      <w:r w:rsidR="006D79FB">
        <w:fldChar w:fldCharType="begin" w:fldLock="1"/>
      </w:r>
      <w:r w:rsidR="00942016">
        <w:instrText>ADDIN CSL_CITATION { "citationItems" : [ { "id" : "ITEM-1", "itemData" : { "ISBN" : "9781601276124", "author" : [ { "dropping-particle" : "", "family" : "Cole", "given" : "Peter", "non-dropping-particle" : "", "parse-names" : false, "suffix" : "" }, { "dropping-particle" : "", "family" : "Mangan", "given" : "Fiona", "non-dropping-particle" : "", "parse-names" : false, "suffix" : "" } ], "id" : "ITEM-1", "issued" : { "date-parts" : [ [ "2016" ] ] }, "publisher-place" : "Washington D.C.", "title" : "TRIBE, SECURITY, JUSTICE, AND PEACE LIBYA IN LIBYA TODAY", "type" : "report" }, "uris" : [ "http://www.mendeley.com/documents/?uuid=f92e6446-0021-4a93-8b60-e04091ede8df" ] }, { "id" : "ITEM-2", "itemData" : { "DOI" : "10.1093/acprof", "ISBN" : "9780199682676", "ISSN" : "0873626X", "PMID" : "16683413", "abstract" : "This chapter examines loyalist communities in the 17 February Revolution from an ethnographic perspective, using the case study of Bani Walid. It argues that Bani Walid\u2019s decision to stay loyal to Qadhafi in 2011 followed a strong community narrative and identity rooted in the historical tribal confederations against the Ottomans and Italians which on independence formed the bedrock of the Libyan state in the west, and which believed themselves protectors of independent Libyan statehood against foreign incursions. Qadhafi\u2019s manipulation of this narrative and the tribal leadership, following a failed coup by Bani Walid officers in 1993 ensured its loyalism in 2011, and allowed Qadhafi to rapidly expand private militias staffed with loyal tribes and communities, thus creating the security apparatus that defended him during the \u201c17 February Revolution \u00bb. Community identity and state security were thus intimately entwined in Qadhafi\u2019s security state, explaining why most in Bani Walid fought to the end to support Qadhafi, while others joined the revolution. Qadhafi\u2019s death created a reversion to this older identity and \u201cpolitical isolation\u201d, the lack of any national reconciliation programme or state control over the justice sector, fostered it, giving Bani Walid a new political direction.", "author" : [ { "dropping-particle" : "", "family" : "Cole", "given" : "Peter", "non-dropping-particle" : "", "parse-names" : false, "suffix" : "" } ], "chapter-number" : "13", "container-title" : "The Libyan Revolution and its Aftermath", "editor" : [ { "dropping-particle" : "", "family" : "Cole", "given" : "Peter", "non-dropping-particle" : "", "parse-names" : false, "suffix" : "" }, { "dropping-particle" : "", "family" : "McQuinn", "given" : "Brian", "non-dropping-particle" : "", "parse-names" : false, "suffix" : "" } ], "id" : "ITEM-2", "issued" : { "date-parts" : [ [ "2015" ] ] }, "publisher" : "Oxford University Press", "publisher-place" : "Oxford", "title" : "Bani Walid: Loyalism in a Time of Revolution Peter", "type" : "chapter" }, "uris" : [ "http://www.mendeley.com/documents/?uuid=a9ee0d64-0db7-4ceb-8192-e33a6eea8b57" ] } ], "mendeley" : { "formattedCitation" : "(Cole and Mangan 2016; Cole 2015)", "plainTextFormattedCitation" : "(Cole and Mangan 2016; Cole 2015)", "previouslyFormattedCitation" : "(Cole and Mangan 2016; Cole 2015)" }, "properties" : { "noteIndex" : 0 }, "schema" : "https://github.com/citation-style-language/schema/raw/master/csl-citation.json" }</w:instrText>
      </w:r>
      <w:r w:rsidR="006D79FB">
        <w:fldChar w:fldCharType="separate"/>
      </w:r>
      <w:r w:rsidR="006D79FB" w:rsidRPr="006D79FB">
        <w:rPr>
          <w:noProof/>
        </w:rPr>
        <w:t>(Cole and Mangan 2016; Cole 2015)</w:t>
      </w:r>
      <w:r w:rsidR="006D79FB">
        <w:fldChar w:fldCharType="end"/>
      </w:r>
      <w:r w:rsidR="006D79FB">
        <w:t xml:space="preserve">. The model does not capture these complex </w:t>
      </w:r>
      <w:r w:rsidR="008C6828">
        <w:t>dynamics but it does</w:t>
      </w:r>
      <w:r w:rsidR="006D79FB">
        <w:t xml:space="preserve"> have the </w:t>
      </w:r>
      <w:proofErr w:type="spellStart"/>
      <w:r w:rsidR="006D79FB">
        <w:t>Mtarfa</w:t>
      </w:r>
      <w:proofErr w:type="spellEnd"/>
      <w:r w:rsidR="006D79FB">
        <w:t xml:space="preserve"> aligning with fundamentalists </w:t>
      </w:r>
      <w:r w:rsidR="00604B0A">
        <w:t>coalition</w:t>
      </w:r>
      <w:r w:rsidR="006D79FB">
        <w:t xml:space="preserve">s while the </w:t>
      </w:r>
      <w:proofErr w:type="spellStart"/>
      <w:r w:rsidR="006D79FB">
        <w:t>Sa’dat</w:t>
      </w:r>
      <w:proofErr w:type="spellEnd"/>
      <w:r w:rsidR="006D79FB">
        <w:t xml:space="preserve">, </w:t>
      </w:r>
      <w:proofErr w:type="spellStart"/>
      <w:r w:rsidR="006D79FB">
        <w:t>Jmala</w:t>
      </w:r>
      <w:proofErr w:type="spellEnd"/>
      <w:r w:rsidR="006D79FB">
        <w:t xml:space="preserve">, and </w:t>
      </w:r>
      <w:proofErr w:type="spellStart"/>
      <w:r w:rsidR="006D79FB">
        <w:t>Sabayi</w:t>
      </w:r>
      <w:proofErr w:type="spellEnd"/>
      <w:r w:rsidR="006D79FB">
        <w:t xml:space="preserve"> align with more moderate </w:t>
      </w:r>
      <w:r w:rsidR="008C6828">
        <w:t xml:space="preserve">nationalist </w:t>
      </w:r>
      <w:r w:rsidR="00456263">
        <w:t xml:space="preserve">of fundamentalist </w:t>
      </w:r>
      <w:r w:rsidR="006D79FB">
        <w:t xml:space="preserve">configurations. In addition, the model is able to produce </w:t>
      </w:r>
      <w:proofErr w:type="gramStart"/>
      <w:r w:rsidR="006D79FB">
        <w:t>extremists</w:t>
      </w:r>
      <w:proofErr w:type="gramEnd"/>
      <w:r w:rsidR="006D79FB">
        <w:t xml:space="preserve"> groups who do not ally with each other or Islamist groups. This is consist</w:t>
      </w:r>
      <w:r w:rsidR="00D02B32">
        <w:t>ent</w:t>
      </w:r>
      <w:r w:rsidR="006D79FB">
        <w:t xml:space="preserve"> with </w:t>
      </w:r>
      <w:r w:rsidR="00D02B32">
        <w:t xml:space="preserve">the role extremists have played, often </w:t>
      </w:r>
      <w:proofErr w:type="gramStart"/>
      <w:r w:rsidR="00D02B32">
        <w:t>being attacked</w:t>
      </w:r>
      <w:proofErr w:type="gramEnd"/>
      <w:r w:rsidR="00D02B32">
        <w:t xml:space="preserve"> by fundamentalist and driven from their strongholds as happened in Sirte which was taken by </w:t>
      </w:r>
      <w:proofErr w:type="spellStart"/>
      <w:r w:rsidR="00D02B32">
        <w:t>Misratan</w:t>
      </w:r>
      <w:proofErr w:type="spellEnd"/>
      <w:r w:rsidR="00D02B32">
        <w:t xml:space="preserve"> militias. Although the model cannot replicate the complex mechanisms of tribal arbitration and rich local histories, it is able to get agreement </w:t>
      </w:r>
      <w:r w:rsidR="00456263">
        <w:t>with</w:t>
      </w:r>
      <w:r w:rsidR="00D02B32">
        <w:t xml:space="preserve"> known </w:t>
      </w:r>
      <w:r w:rsidR="00604B0A">
        <w:t>coalition</w:t>
      </w:r>
      <w:r w:rsidR="00D02B32">
        <w:t xml:space="preserve">s in Libya. </w:t>
      </w:r>
    </w:p>
    <w:p w:rsidR="00A06B0D" w:rsidRDefault="009F7A3B" w:rsidP="009F7A3B">
      <w:pPr>
        <w:pStyle w:val="Subtitle"/>
        <w:spacing w:after="0" w:line="480" w:lineRule="auto"/>
      </w:pPr>
      <w:r>
        <w:t>4.2 Broader Implications</w:t>
      </w:r>
      <w:r w:rsidR="00A06B0D">
        <w:tab/>
      </w:r>
    </w:p>
    <w:p w:rsidR="00E36769" w:rsidRDefault="009F7A3B" w:rsidP="009F7A3B">
      <w:pPr>
        <w:spacing w:after="0" w:line="480" w:lineRule="auto"/>
      </w:pPr>
      <w:r>
        <w:tab/>
        <w:t xml:space="preserve">Although this model focused specifically on Libya, the results of the impact of military and economic support </w:t>
      </w:r>
      <w:r w:rsidR="008C6828">
        <w:t xml:space="preserve">on </w:t>
      </w:r>
      <w:r w:rsidR="00604B0A">
        <w:t>coalition</w:t>
      </w:r>
      <w:r w:rsidR="008C6828">
        <w:t xml:space="preserve"> formation </w:t>
      </w:r>
      <w:r>
        <w:t xml:space="preserve">are generalizable. If the goal </w:t>
      </w:r>
      <w:r w:rsidR="008C6828">
        <w:t xml:space="preserve">of providing foreign support </w:t>
      </w:r>
      <w:r>
        <w:t xml:space="preserve">to support a group or groups </w:t>
      </w:r>
      <w:r w:rsidR="008C6828">
        <w:t>is</w:t>
      </w:r>
      <w:r>
        <w:t xml:space="preserve"> to encourage </w:t>
      </w:r>
      <w:r w:rsidR="008C6828">
        <w:t>other</w:t>
      </w:r>
      <w:r>
        <w:t xml:space="preserve"> groups</w:t>
      </w:r>
      <w:r w:rsidR="007301C5">
        <w:t xml:space="preserve"> within the population </w:t>
      </w:r>
      <w:r>
        <w:t xml:space="preserve">to align with </w:t>
      </w:r>
      <w:r w:rsidR="007301C5">
        <w:t xml:space="preserve">the </w:t>
      </w:r>
      <w:r w:rsidR="007301C5">
        <w:lastRenderedPageBreak/>
        <w:t>supported</w:t>
      </w:r>
      <w:r>
        <w:t xml:space="preserve"> affinity</w:t>
      </w:r>
      <w:r w:rsidR="008C6828">
        <w:t xml:space="preserve"> then this model demonstrates that such a strategy has a small chance of success and can even be counter-productive. Although the supported group does become more powerful there was only one condition in which the supported </w:t>
      </w:r>
      <w:r w:rsidR="00604B0A">
        <w:t>coalition</w:t>
      </w:r>
      <w:r w:rsidR="008C6828">
        <w:t xml:space="preserve"> increased its number of </w:t>
      </w:r>
      <w:r w:rsidR="00604B0A">
        <w:t>coalition</w:t>
      </w:r>
      <w:r w:rsidR="008C6828">
        <w:t>s</w:t>
      </w:r>
      <w:r w:rsidR="00E36769">
        <w:t xml:space="preserve">, </w:t>
      </w:r>
      <w:r w:rsidR="00456263">
        <w:t xml:space="preserve">though it still </w:t>
      </w:r>
      <w:proofErr w:type="spellStart"/>
      <w:r w:rsidR="00456263">
        <w:t>ws</w:t>
      </w:r>
      <w:proofErr w:type="spellEnd"/>
      <w:r w:rsidR="00456263">
        <w:t xml:space="preserve"> not the majority, while in </w:t>
      </w:r>
      <w:r w:rsidR="00E36769">
        <w:t xml:space="preserve">all the other cases it was </w:t>
      </w:r>
      <w:r w:rsidR="007301C5">
        <w:t>counterproductive</w:t>
      </w:r>
      <w:r w:rsidR="00E36769">
        <w:t>.</w:t>
      </w:r>
      <w:r w:rsidR="008C6828">
        <w:t xml:space="preserve"> </w:t>
      </w:r>
    </w:p>
    <w:p w:rsidR="007301C5" w:rsidRDefault="00E36769" w:rsidP="009F7A3B">
      <w:pPr>
        <w:spacing w:after="0" w:line="480" w:lineRule="auto"/>
      </w:pPr>
      <w:r>
        <w:tab/>
        <w:t>This approach also fundamentally alters the historic Westphalian perspective of a foreign country as a homogenous entity. By examining how 12</w:t>
      </w:r>
      <w:r w:rsidR="00456263">
        <w:t>8</w:t>
      </w:r>
      <w:r>
        <w:t xml:space="preserve"> different groups may react to a large influx of outside support </w:t>
      </w:r>
      <w:r w:rsidR="007301C5">
        <w:t xml:space="preserve">this model assumed a fundamentally different perspective in which foreign aid actions influence the inner workings, decisions and evolution of the foreign population. Computing the optimal </w:t>
      </w:r>
      <w:r w:rsidR="00604B0A">
        <w:t>coalition</w:t>
      </w:r>
      <w:r w:rsidR="007301C5">
        <w:t>s of 12</w:t>
      </w:r>
      <w:r w:rsidR="00456263">
        <w:t>8</w:t>
      </w:r>
      <w:r w:rsidR="007301C5">
        <w:t xml:space="preserve"> groups all examining every other possibility as each new </w:t>
      </w:r>
      <w:r w:rsidR="00604B0A">
        <w:t>coalition</w:t>
      </w:r>
      <w:r w:rsidR="007301C5">
        <w:t xml:space="preserve"> changes their options is a non-trivial task which is </w:t>
      </w:r>
      <w:r w:rsidR="00456263">
        <w:t xml:space="preserve">possible </w:t>
      </w:r>
      <w:r w:rsidR="007301C5">
        <w:t xml:space="preserve">through the aid of computation. As this model can take any number of groups from any population in any </w:t>
      </w:r>
      <w:proofErr w:type="gramStart"/>
      <w:r w:rsidR="007301C5">
        <w:t>time period</w:t>
      </w:r>
      <w:proofErr w:type="gramEnd"/>
      <w:r w:rsidR="007301C5">
        <w:t xml:space="preserve"> to explore it offers </w:t>
      </w:r>
      <w:r w:rsidR="003A5E96">
        <w:t>much</w:t>
      </w:r>
      <w:r w:rsidR="007301C5">
        <w:t xml:space="preserve"> greater flexibility in analyzing how </w:t>
      </w:r>
      <w:r w:rsidR="00604B0A">
        <w:t>coalition</w:t>
      </w:r>
      <w:r w:rsidR="007301C5">
        <w:t xml:space="preserve">s within a population form and what aspects </w:t>
      </w:r>
      <w:r w:rsidR="003A5E96">
        <w:t xml:space="preserve">of the various groups </w:t>
      </w:r>
      <w:r w:rsidR="007301C5">
        <w:t xml:space="preserve">affected those </w:t>
      </w:r>
      <w:r w:rsidR="00604B0A">
        <w:t>coalition</w:t>
      </w:r>
      <w:r w:rsidR="007301C5">
        <w:t xml:space="preserve">s.  This approach offers </w:t>
      </w:r>
      <w:r w:rsidR="00456263">
        <w:t xml:space="preserve">significant </w:t>
      </w:r>
      <w:r w:rsidR="007301C5">
        <w:t xml:space="preserve">new possibilities in which to explore the impacts of foreign </w:t>
      </w:r>
      <w:r w:rsidR="003A5E96">
        <w:t>support</w:t>
      </w:r>
      <w:r w:rsidR="007301C5">
        <w:t xml:space="preserve"> to </w:t>
      </w:r>
      <w:r w:rsidR="00604B0A">
        <w:t>coalition</w:t>
      </w:r>
      <w:r w:rsidR="007301C5">
        <w:t xml:space="preserve"> formation. </w:t>
      </w:r>
    </w:p>
    <w:p w:rsidR="003A5E96" w:rsidRDefault="003A5E96" w:rsidP="003A5E96">
      <w:pPr>
        <w:pStyle w:val="Subtitle"/>
      </w:pPr>
      <w:r>
        <w:t>4.3 Future Research</w:t>
      </w:r>
    </w:p>
    <w:p w:rsidR="00783663" w:rsidRDefault="003A5E96" w:rsidP="00783663">
      <w:pPr>
        <w:spacing w:after="0" w:line="480" w:lineRule="auto"/>
      </w:pPr>
      <w:r>
        <w:tab/>
        <w:t xml:space="preserve">The model’s results provide the best way forward for future research. The marginal effectiveness parameter had the most impact on </w:t>
      </w:r>
      <w:r w:rsidR="00604B0A">
        <w:t>coalition</w:t>
      </w:r>
      <w:r>
        <w:t xml:space="preserve"> formation. Diversifying the marginal effectiveness parameter so different groups have different attributes and whose coupling have different impacts would be a potentially powerful way to extend this model. For example, a </w:t>
      </w:r>
      <w:proofErr w:type="spellStart"/>
      <w:r>
        <w:t>Misrata</w:t>
      </w:r>
      <w:proofErr w:type="spellEnd"/>
      <w:r>
        <w:t xml:space="preserve"> tribe may form </w:t>
      </w:r>
      <w:proofErr w:type="gramStart"/>
      <w:r>
        <w:t>an</w:t>
      </w:r>
      <w:proofErr w:type="gramEnd"/>
      <w:r>
        <w:t xml:space="preserve"> </w:t>
      </w:r>
      <w:r w:rsidR="00604B0A">
        <w:t>coalition</w:t>
      </w:r>
      <w:r>
        <w:t xml:space="preserve"> with </w:t>
      </w:r>
      <w:r w:rsidR="00783663">
        <w:t xml:space="preserve">an </w:t>
      </w:r>
      <w:proofErr w:type="spellStart"/>
      <w:r>
        <w:t>Awlad</w:t>
      </w:r>
      <w:proofErr w:type="spellEnd"/>
      <w:r>
        <w:t xml:space="preserve"> </w:t>
      </w:r>
      <w:proofErr w:type="spellStart"/>
      <w:r>
        <w:t>Sulaiman</w:t>
      </w:r>
      <w:proofErr w:type="spellEnd"/>
      <w:r>
        <w:t xml:space="preserve"> tribe</w:t>
      </w:r>
      <w:r w:rsidR="00783663">
        <w:t xml:space="preserve"> in Sabha to create a</w:t>
      </w:r>
      <w:r>
        <w:t xml:space="preserve"> trade route to move goods from Europe into Africa and vice versa</w:t>
      </w:r>
      <w:r w:rsidR="00783663">
        <w:t xml:space="preserve">. This </w:t>
      </w:r>
      <w:r w:rsidR="00604B0A">
        <w:t>coalition</w:t>
      </w:r>
      <w:r w:rsidR="00783663">
        <w:t xml:space="preserve"> woul</w:t>
      </w:r>
      <w:r>
        <w:t xml:space="preserve">d have more marginal effectiveness than the </w:t>
      </w:r>
      <w:proofErr w:type="spellStart"/>
      <w:r>
        <w:t>Misrata</w:t>
      </w:r>
      <w:proofErr w:type="spellEnd"/>
      <w:r>
        <w:t xml:space="preserve"> tribe forming </w:t>
      </w:r>
      <w:proofErr w:type="gramStart"/>
      <w:r>
        <w:t>an</w:t>
      </w:r>
      <w:proofErr w:type="gramEnd"/>
      <w:r>
        <w:t xml:space="preserve"> </w:t>
      </w:r>
      <w:r w:rsidR="00604B0A">
        <w:t>coalition</w:t>
      </w:r>
      <w:r>
        <w:t xml:space="preserve"> with a </w:t>
      </w:r>
      <w:r w:rsidR="00783663">
        <w:t>tribe from Al-</w:t>
      </w:r>
      <w:proofErr w:type="spellStart"/>
      <w:r w:rsidR="00783663">
        <w:t>Khums</w:t>
      </w:r>
      <w:proofErr w:type="spellEnd"/>
      <w:r w:rsidR="00783663">
        <w:t xml:space="preserve"> another coastal city near </w:t>
      </w:r>
      <w:proofErr w:type="spellStart"/>
      <w:r w:rsidR="00783663">
        <w:t>Misrata</w:t>
      </w:r>
      <w:proofErr w:type="spellEnd"/>
      <w:r w:rsidR="00783663">
        <w:t xml:space="preserve">. This approach also provides the possibility of seeing what impact improving a specific group’s attributes may have on </w:t>
      </w:r>
      <w:r w:rsidR="00604B0A">
        <w:t>coalition</w:t>
      </w:r>
      <w:r w:rsidR="00783663">
        <w:t xml:space="preserve"> formations. This may result in more specific foreign aid policies which </w:t>
      </w:r>
      <w:proofErr w:type="gramStart"/>
      <w:r w:rsidR="00783663">
        <w:t xml:space="preserve">have the ability </w:t>
      </w:r>
      <w:r w:rsidR="00783663">
        <w:lastRenderedPageBreak/>
        <w:t>to</w:t>
      </w:r>
      <w:proofErr w:type="gramEnd"/>
      <w:r w:rsidR="00783663">
        <w:t xml:space="preserve"> grow bottom up solutions instead of </w:t>
      </w:r>
      <w:r w:rsidR="00456263">
        <w:t>broad to</w:t>
      </w:r>
      <w:r w:rsidR="00783663">
        <w:t xml:space="preserve">p down foreign policy interventions.  Other important extensions of this model would be adding geographic information systems (GIS) data and diversifying the compromise parameter. The GIS extension would put tribes at a specific location and allow distance to influence their available </w:t>
      </w:r>
      <w:r w:rsidR="00F733F7">
        <w:t xml:space="preserve">options as well as include competition over scarce </w:t>
      </w:r>
      <w:r w:rsidR="00783663">
        <w:t>economic resources</w:t>
      </w:r>
      <w:r w:rsidR="00F733F7">
        <w:t xml:space="preserve">. Diversifying the compromise parameter to make some groups much likely to compromise their views may show how zealots impact the final affinities </w:t>
      </w:r>
      <w:r w:rsidR="00604B0A">
        <w:t>coalition</w:t>
      </w:r>
      <w:r w:rsidR="00F733F7">
        <w:t xml:space="preserve">s adopt. This model has many opportunities for future extensions which may enhance its results and provide more clarity to foreign policy. </w:t>
      </w:r>
    </w:p>
    <w:p w:rsidR="00F733F7" w:rsidRDefault="00F733F7" w:rsidP="00F733F7">
      <w:pPr>
        <w:pStyle w:val="Subtitle"/>
      </w:pPr>
      <w:r>
        <w:t>4.4 Implications</w:t>
      </w:r>
      <w:r w:rsidR="009E5DBD">
        <w:t xml:space="preserve"> for Policy</w:t>
      </w:r>
    </w:p>
    <w:p w:rsidR="001C4F5C" w:rsidRDefault="001C4F5C" w:rsidP="001C4F5C">
      <w:pPr>
        <w:spacing w:after="0" w:line="480" w:lineRule="auto"/>
      </w:pPr>
      <w:r>
        <w:tab/>
        <w:t xml:space="preserve">These results show that </w:t>
      </w:r>
      <w:r w:rsidR="0042149F">
        <w:t xml:space="preserve">an influx of economic resources and military capability may make a group within a foreign population more powerful but also discourage them from moderating their position or forming </w:t>
      </w:r>
      <w:r w:rsidR="00456263">
        <w:t xml:space="preserve">more inclusive </w:t>
      </w:r>
      <w:r w:rsidR="00604B0A">
        <w:t>coalition</w:t>
      </w:r>
      <w:r w:rsidR="0042149F">
        <w:t xml:space="preserve">s. </w:t>
      </w:r>
      <w:r w:rsidR="009E5DBD">
        <w:t xml:space="preserve">These results should have significant impact on how the U.S. understands the support it provides to foreign populations. Although I used Libya specifically to provide an additional layer of validation, similar dynamics </w:t>
      </w:r>
      <w:r w:rsidR="00C2376E">
        <w:t xml:space="preserve">should </w:t>
      </w:r>
      <w:r w:rsidR="009E5DBD">
        <w:t xml:space="preserve">hold for all foreign populations at numerous different scales. The model can accept any csv file with the same three </w:t>
      </w:r>
      <w:r w:rsidR="00456263">
        <w:t>group variables. A</w:t>
      </w:r>
      <w:r w:rsidR="009E5DBD">
        <w:t xml:space="preserve">lthough different </w:t>
      </w:r>
      <w:r w:rsidR="00604B0A">
        <w:t>coalition</w:t>
      </w:r>
      <w:r w:rsidR="009E5DBD">
        <w:t>s with different spreads of affinity will emerge providing insights to that specific situation</w:t>
      </w:r>
      <w:r w:rsidR="00456263">
        <w:t>, t</w:t>
      </w:r>
      <w:r w:rsidR="009E5DBD">
        <w:t xml:space="preserve">he general impact of dramatically increasing a groups economic resources or military capability will not change.  </w:t>
      </w:r>
      <w:r w:rsidR="00F733F7">
        <w:tab/>
      </w:r>
    </w:p>
    <w:p w:rsidR="009E5DBD" w:rsidRDefault="009E5DBD" w:rsidP="009E5DBD">
      <w:pPr>
        <w:pStyle w:val="Heading1"/>
      </w:pPr>
      <w:r>
        <w:t>5. Conclusion</w:t>
      </w:r>
    </w:p>
    <w:p w:rsidR="009E5DBD" w:rsidRDefault="009E5DBD" w:rsidP="001C4F5C">
      <w:pPr>
        <w:spacing w:after="0" w:line="480" w:lineRule="auto"/>
      </w:pPr>
    </w:p>
    <w:p w:rsidR="00116F7E" w:rsidRDefault="0051563D" w:rsidP="002F08D0">
      <w:pPr>
        <w:spacing w:after="0" w:line="480" w:lineRule="auto"/>
        <w:ind w:firstLine="720"/>
      </w:pPr>
      <w:r>
        <w:t>Understanding the impact of U.S. foreign aid in civil confli</w:t>
      </w:r>
      <w:r w:rsidR="00496D1D">
        <w:t>ct is a necessity based on the</w:t>
      </w:r>
      <w:r>
        <w:t xml:space="preserve"> las</w:t>
      </w:r>
      <w:r w:rsidR="00116F7E">
        <w:t>t sixteen years of conflict. T</w:t>
      </w:r>
      <w:r w:rsidR="00C2376E">
        <w:t xml:space="preserve">he fact </w:t>
      </w:r>
      <w:r>
        <w:t xml:space="preserve">that </w:t>
      </w:r>
      <w:r w:rsidR="00116F7E">
        <w:t>t</w:t>
      </w:r>
      <w:r>
        <w:t xml:space="preserve">he conflicts </w:t>
      </w:r>
      <w:r w:rsidR="00C2376E">
        <w:t xml:space="preserve">will </w:t>
      </w:r>
      <w:r>
        <w:t xml:space="preserve">keep changing and the participants </w:t>
      </w:r>
      <w:r w:rsidR="00C2376E">
        <w:t xml:space="preserve">will </w:t>
      </w:r>
      <w:r>
        <w:t>keep adapting</w:t>
      </w:r>
      <w:r w:rsidR="00116F7E">
        <w:t xml:space="preserve"> further exacerbates this </w:t>
      </w:r>
      <w:r w:rsidR="00496D1D">
        <w:t>challenge</w:t>
      </w:r>
      <w:r>
        <w:t xml:space="preserve">. </w:t>
      </w:r>
      <w:r w:rsidR="00116F7E">
        <w:t xml:space="preserve">The U.S. Government requires new tool </w:t>
      </w:r>
      <w:r w:rsidR="00C2376E">
        <w:t>which can examine the problem in new ways and customize to the specifics of the organization or unit</w:t>
      </w:r>
      <w:r w:rsidR="00116F7E">
        <w:t>’</w:t>
      </w:r>
      <w:r w:rsidR="00C2376E">
        <w:t xml:space="preserve">s situation </w:t>
      </w:r>
      <w:proofErr w:type="gramStart"/>
      <w:r w:rsidR="00C2376E">
        <w:t>are required</w:t>
      </w:r>
      <w:proofErr w:type="gramEnd"/>
      <w:r w:rsidR="00C2376E">
        <w:t>. C</w:t>
      </w:r>
      <w:r>
        <w:t xml:space="preserve">omputational analytic tools to help </w:t>
      </w:r>
      <w:r w:rsidR="00C2376E">
        <w:t xml:space="preserve">analysts and decision makers </w:t>
      </w:r>
      <w:r>
        <w:t xml:space="preserve">explore and understand </w:t>
      </w:r>
      <w:r>
        <w:lastRenderedPageBreak/>
        <w:t xml:space="preserve">U.S. impact </w:t>
      </w:r>
      <w:r w:rsidR="00C2376E">
        <w:t>on local dynamics are</w:t>
      </w:r>
      <w:r>
        <w:t xml:space="preserve"> a necessity</w:t>
      </w:r>
      <w:r w:rsidR="00C2376E">
        <w:t xml:space="preserve">. This model represents one small and tentative step to that objective by assessing the impact of economic and military aid on coalition formation within Libya. The first part of my research process replicated the standard qualitative assessment processes I have experienced in 17 years of military service from the platoon to the Combatant Command level. I then inputted those values into an ABM which executed a well-known coalition formation algorithm. I then analyzed those results and found general agreement of the model from two perspectives. First, the model replicated known alliances in Libya. </w:t>
      </w:r>
      <w:r w:rsidR="00116F7E">
        <w:t xml:space="preserve">Second, the model replicated phenomenon where groups who receive large amounts of foreign aid are less </w:t>
      </w:r>
      <w:r w:rsidR="00496D1D">
        <w:t>likely</w:t>
      </w:r>
      <w:r w:rsidR="00116F7E">
        <w:t xml:space="preserve"> to for</w:t>
      </w:r>
      <w:r w:rsidR="00496D1D">
        <w:t>m</w:t>
      </w:r>
      <w:r w:rsidR="00116F7E">
        <w:t xml:space="preserve"> broad alliances </w:t>
      </w:r>
      <w:r w:rsidR="00496D1D">
        <w:t>or</w:t>
      </w:r>
      <w:r w:rsidR="00116F7E">
        <w:t xml:space="preserve"> compromise their views. Critically, the algorithm on which the ABM operates is generalizable so any csv input can </w:t>
      </w:r>
      <w:proofErr w:type="gramStart"/>
      <w:r w:rsidR="00116F7E">
        <w:t>be taken</w:t>
      </w:r>
      <w:proofErr w:type="gramEnd"/>
      <w:r w:rsidR="00116F7E">
        <w:t xml:space="preserve"> for conflic</w:t>
      </w:r>
      <w:r w:rsidR="00496D1D">
        <w:t>ts across both time and space</w:t>
      </w:r>
      <w:r w:rsidR="00116F7E">
        <w:t xml:space="preserve">. </w:t>
      </w:r>
    </w:p>
    <w:p w:rsidR="00116F7E" w:rsidRDefault="00116F7E">
      <w:r>
        <w:br w:type="page"/>
      </w:r>
    </w:p>
    <w:p w:rsidR="00116F7E" w:rsidRDefault="00116F7E" w:rsidP="00116F7E">
      <w:pPr>
        <w:pStyle w:val="Heading1"/>
      </w:pPr>
      <w:r>
        <w:lastRenderedPageBreak/>
        <w:t>Bibliography</w:t>
      </w:r>
    </w:p>
    <w:p w:rsidR="00116F7E" w:rsidRPr="00116F7E" w:rsidRDefault="00116F7E" w:rsidP="00116F7E"/>
    <w:p w:rsidR="005324BE" w:rsidRPr="005324BE" w:rsidRDefault="00116F7E" w:rsidP="005324BE">
      <w:pPr>
        <w:widowControl w:val="0"/>
        <w:autoSpaceDE w:val="0"/>
        <w:autoSpaceDN w:val="0"/>
        <w:adjustRightInd w:val="0"/>
        <w:spacing w:after="0"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324BE" w:rsidRPr="005324BE">
        <w:rPr>
          <w:rFonts w:ascii="Calibri" w:hAnsi="Calibri" w:cs="Calibri"/>
          <w:noProof/>
          <w:szCs w:val="24"/>
        </w:rPr>
        <w:t xml:space="preserve">Abdollahian, Mark, Yang Zinig, and Hal Nelson. 2013. “Techno-Social Energy Infrastructure Siting : Sustainable Energy Modeling Programming ( SEMPro ).” </w:t>
      </w:r>
      <w:r w:rsidR="005324BE" w:rsidRPr="005324BE">
        <w:rPr>
          <w:rFonts w:ascii="Calibri" w:hAnsi="Calibri" w:cs="Calibri"/>
          <w:i/>
          <w:iCs/>
          <w:noProof/>
          <w:szCs w:val="24"/>
        </w:rPr>
        <w:t>Journal of Artifical Socieities and Simulation</w:t>
      </w:r>
      <w:r w:rsidR="005324BE" w:rsidRPr="005324BE">
        <w:rPr>
          <w:rFonts w:ascii="Calibri" w:hAnsi="Calibri" w:cs="Calibri"/>
          <w:noProof/>
          <w:szCs w:val="24"/>
        </w:rPr>
        <w:t xml:space="preserve"> 16 (3): 1–12.</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Axtell, Robert. 2000. “Why Agents?: On the Varied Motivations for Agent Computing in the Social Sciences.” </w:t>
      </w:r>
      <w:r w:rsidRPr="005324BE">
        <w:rPr>
          <w:rFonts w:ascii="Calibri" w:hAnsi="Calibri" w:cs="Calibri"/>
          <w:i/>
          <w:iCs/>
          <w:noProof/>
          <w:szCs w:val="24"/>
        </w:rPr>
        <w:t>Center on Social and Economics Dynamics - The Brookings Institution</w:t>
      </w:r>
      <w:r w:rsidRPr="005324BE">
        <w:rPr>
          <w:rFonts w:ascii="Calibri" w:hAnsi="Calibri" w:cs="Calibri"/>
          <w:noProof/>
          <w:szCs w:val="24"/>
        </w:rPr>
        <w:t>, no. 17: 1–23. doi:10.1016/j.cep.2007.02.029.</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Axtell, Robert L, and Joshua M Epstein. 1994. “Agent-Based Modeling: Understanding Our Creations.” </w:t>
      </w:r>
      <w:r w:rsidRPr="005324BE">
        <w:rPr>
          <w:rFonts w:ascii="Calibri" w:hAnsi="Calibri" w:cs="Calibri"/>
          <w:i/>
          <w:iCs/>
          <w:noProof/>
          <w:szCs w:val="24"/>
        </w:rPr>
        <w:t>The Bulletin of the Santa Fe Institute</w:t>
      </w:r>
      <w:r w:rsidRPr="005324BE">
        <w:rPr>
          <w:rFonts w:ascii="Calibri" w:hAnsi="Calibri" w:cs="Calibri"/>
          <w:noProof/>
          <w:szCs w:val="24"/>
        </w:rPr>
        <w:t>, 28–32.</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Boduszyński, Mieczysław P. 2015. “The Libyan Revolution and Its Aftermath / The 2011 Libyan Uprisings and the Struggle for the Post-Qadhafi Future.” </w:t>
      </w:r>
      <w:r w:rsidRPr="005324BE">
        <w:rPr>
          <w:rFonts w:ascii="Calibri" w:hAnsi="Calibri" w:cs="Calibri"/>
          <w:i/>
          <w:iCs/>
          <w:noProof/>
          <w:szCs w:val="24"/>
        </w:rPr>
        <w:t>The Journal of North African Studies</w:t>
      </w:r>
      <w:r w:rsidRPr="005324BE">
        <w:rPr>
          <w:rFonts w:ascii="Calibri" w:hAnsi="Calibri" w:cs="Calibri"/>
          <w:noProof/>
          <w:szCs w:val="24"/>
        </w:rPr>
        <w:t xml:space="preserve"> 20 (5): 898–900. doi:10.1080/13629387.2015.1075307.</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Cole, Peter. 2015. “Bani Walid: Loyalism in a Time of Revolution Peter.” In </w:t>
      </w:r>
      <w:r w:rsidRPr="005324BE">
        <w:rPr>
          <w:rFonts w:ascii="Calibri" w:hAnsi="Calibri" w:cs="Calibri"/>
          <w:i/>
          <w:iCs/>
          <w:noProof/>
          <w:szCs w:val="24"/>
        </w:rPr>
        <w:t>The Libyan Revolution and Its Aftermath</w:t>
      </w:r>
      <w:r w:rsidRPr="005324BE">
        <w:rPr>
          <w:rFonts w:ascii="Calibri" w:hAnsi="Calibri" w:cs="Calibri"/>
          <w:noProof/>
          <w:szCs w:val="24"/>
        </w:rPr>
        <w:t>, edited by Peter Cole and Brian McQuinn. Oxford: Oxford University Press. doi:10.1093/acprof.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Cole, Peter, and Fiona Mangan. 2016. “TRIBE, SECURITY, JUSTICE, AND PEACE LIBYA IN LIBYA TODAY.” Washington D.C.</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Cole, Peter, and Brian McQuinn, eds. 2015. </w:t>
      </w:r>
      <w:r w:rsidRPr="005324BE">
        <w:rPr>
          <w:rFonts w:ascii="Calibri" w:hAnsi="Calibri" w:cs="Calibri"/>
          <w:i/>
          <w:iCs/>
          <w:noProof/>
          <w:szCs w:val="24"/>
        </w:rPr>
        <w:t>The Libyan Revolution and Its Aftermath</w:t>
      </w:r>
      <w:r w:rsidRPr="005324BE">
        <w:rPr>
          <w:rFonts w:ascii="Calibri" w:hAnsi="Calibri" w:cs="Calibri"/>
          <w:noProof/>
          <w:szCs w:val="24"/>
        </w:rPr>
        <w:t>. Oxford: Oxford University Press. www.oxfordscholarship.com.</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“Egypt Launches Strikes in Libya after Minya Attack | Egypt News | Al Jazeera.” 2017. </w:t>
      </w:r>
      <w:r w:rsidRPr="005324BE">
        <w:rPr>
          <w:rFonts w:ascii="Calibri" w:hAnsi="Calibri" w:cs="Calibri"/>
          <w:i/>
          <w:iCs/>
          <w:noProof/>
          <w:szCs w:val="24"/>
        </w:rPr>
        <w:t>Al-Jazeera</w:t>
      </w:r>
      <w:r w:rsidRPr="005324BE">
        <w:rPr>
          <w:rFonts w:ascii="Calibri" w:hAnsi="Calibri" w:cs="Calibri"/>
          <w:noProof/>
          <w:szCs w:val="24"/>
        </w:rPr>
        <w:t>. http://www.aljazeera.com/news/2017/05/egypt-launches-strikes-libya-minya-attack-170526200625281.html.</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Elgazzar, Heba, Caroline Bahson, Pietro Calice, Nada Choueri, Erik Churchill, Laurence Hargreaves, Khalid El Massnaoui, Abdel Rahman Lahga, Francesca Recanatini, and Paola Ridolfi. 2015. </w:t>
      </w:r>
      <w:r w:rsidRPr="005324BE">
        <w:rPr>
          <w:rFonts w:ascii="Calibri" w:hAnsi="Calibri" w:cs="Calibri"/>
          <w:i/>
          <w:iCs/>
          <w:noProof/>
          <w:szCs w:val="24"/>
        </w:rPr>
        <w:t xml:space="preserve">Labor Market </w:t>
      </w:r>
      <w:r w:rsidRPr="005324BE">
        <w:rPr>
          <w:rFonts w:ascii="Calibri" w:hAnsi="Calibri" w:cs="Calibri"/>
          <w:i/>
          <w:iCs/>
          <w:noProof/>
          <w:szCs w:val="24"/>
        </w:rPr>
        <w:lastRenderedPageBreak/>
        <w:t>Dynamics in Libya: Rintegration For Recovery</w:t>
      </w:r>
      <w:r w:rsidRPr="005324BE">
        <w:rPr>
          <w:rFonts w:ascii="Calibri" w:hAnsi="Calibri" w:cs="Calibri"/>
          <w:noProof/>
          <w:szCs w:val="24"/>
        </w:rPr>
        <w:t>. Washington D.C.: World Bank Group. doi:10.1596/978-1-4648-0566-0.</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Epstein, Joshua M. 1999. “Agent-Based Computational Models and Generative Social Science.” </w:t>
      </w:r>
      <w:r w:rsidRPr="005324BE">
        <w:rPr>
          <w:rFonts w:ascii="Calibri" w:hAnsi="Calibri" w:cs="Calibri"/>
          <w:i/>
          <w:iCs/>
          <w:noProof/>
          <w:szCs w:val="24"/>
        </w:rPr>
        <w:t>Complexity</w:t>
      </w:r>
      <w:r w:rsidRPr="005324BE">
        <w:rPr>
          <w:rFonts w:ascii="Calibri" w:hAnsi="Calibri" w:cs="Calibri"/>
          <w:noProof/>
          <w:szCs w:val="24"/>
        </w:rPr>
        <w:t xml:space="preserve"> 4 (5): 41–60. doi:10.1002/(SICI)1099-0526(199905/06)4:5&lt;41::AID-CPLX9&gt;3.3.CO;2-6.</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 2006. </w:t>
      </w:r>
      <w:r w:rsidRPr="005324BE">
        <w:rPr>
          <w:rFonts w:ascii="Calibri" w:hAnsi="Calibri" w:cs="Calibri"/>
          <w:i/>
          <w:iCs/>
          <w:noProof/>
          <w:szCs w:val="24"/>
        </w:rPr>
        <w:t>Generative Social Science: Studies in Agent-Based Computational Modeling</w:t>
      </w:r>
      <w:r w:rsidRPr="005324BE">
        <w:rPr>
          <w:rFonts w:ascii="Calibri" w:hAnsi="Calibri" w:cs="Calibri"/>
          <w:noProof/>
          <w:szCs w:val="24"/>
        </w:rPr>
        <w:t xml:space="preserve">. </w:t>
      </w:r>
      <w:r w:rsidRPr="005324BE">
        <w:rPr>
          <w:rFonts w:ascii="Calibri" w:hAnsi="Calibri" w:cs="Calibri"/>
          <w:i/>
          <w:iCs/>
          <w:noProof/>
          <w:szCs w:val="24"/>
        </w:rPr>
        <w:t>Generative Social Sciences</w:t>
      </w:r>
      <w:r w:rsidRPr="005324BE">
        <w:rPr>
          <w:rFonts w:ascii="Calibri" w:hAnsi="Calibri" w:cs="Calibri"/>
          <w:noProof/>
          <w:szCs w:val="24"/>
        </w:rPr>
        <w:t>. doi:10.1017/CBO9781107415324.004.</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Eriksson, Mikael. 2016. “A Fratricidal Libya: Making Sense of a Conflict Complex.” </w:t>
      </w:r>
      <w:r w:rsidRPr="005324BE">
        <w:rPr>
          <w:rFonts w:ascii="Calibri" w:hAnsi="Calibri" w:cs="Calibri"/>
          <w:i/>
          <w:iCs/>
          <w:noProof/>
          <w:szCs w:val="24"/>
        </w:rPr>
        <w:t>Small Wars &amp; Insurgencies</w:t>
      </w:r>
      <w:r w:rsidRPr="005324BE">
        <w:rPr>
          <w:rFonts w:ascii="Calibri" w:hAnsi="Calibri" w:cs="Calibri"/>
          <w:noProof/>
          <w:szCs w:val="24"/>
        </w:rPr>
        <w:t xml:space="preserve"> 27 (5). Routledge: 817–36. doi:10.1080/09592318.2016.1208794.</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Fitzgerald, Mary ( European Foreign Relations Council). 2015. “A Quick Guide To Libya’s Main Players.” http://www.ecfr.eu/page/-/Lybias_Main_Players_Dec2016_v2.pdf.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Hatitah, Abdulsattar, and Asharq Al-Awsat. 2011. “Libyan Tribal Map : Network of Loyalties That Will Determine Gaddafi’s (...) - CETRI, Centre Tricontinental.” </w:t>
      </w:r>
      <w:r w:rsidRPr="005324BE">
        <w:rPr>
          <w:rFonts w:ascii="Calibri" w:hAnsi="Calibri" w:cs="Calibri"/>
          <w:i/>
          <w:iCs/>
          <w:noProof/>
          <w:szCs w:val="24"/>
        </w:rPr>
        <w:t>Le Sud En Movement</w:t>
      </w:r>
      <w:r w:rsidRPr="005324BE">
        <w:rPr>
          <w:rFonts w:ascii="Calibri" w:hAnsi="Calibri" w:cs="Calibri"/>
          <w:noProof/>
          <w:szCs w:val="24"/>
        </w:rPr>
        <w:t>. http://www.cetri.be/Libyan-Tribal-Map-Network-of?lang=fr.</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Kalyvas, Stathis N. 2006. </w:t>
      </w:r>
      <w:r w:rsidRPr="005324BE">
        <w:rPr>
          <w:rFonts w:ascii="Calibri" w:hAnsi="Calibri" w:cs="Calibri"/>
          <w:i/>
          <w:iCs/>
          <w:noProof/>
          <w:szCs w:val="24"/>
        </w:rPr>
        <w:t>The Logic of Violence in Civil War</w:t>
      </w:r>
      <w:r w:rsidRPr="005324BE">
        <w:rPr>
          <w:rFonts w:ascii="Calibri" w:hAnsi="Calibri" w:cs="Calibri"/>
          <w:noProof/>
          <w:szCs w:val="24"/>
        </w:rPr>
        <w:t>. New York: Cambridge University Press.</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Kane, Sean. 2015. “Barqa Reborn? Eastern Regionalism and Libya’s Political Transition.” In </w:t>
      </w:r>
      <w:r w:rsidRPr="005324BE">
        <w:rPr>
          <w:rFonts w:ascii="Calibri" w:hAnsi="Calibri" w:cs="Calibri"/>
          <w:i/>
          <w:iCs/>
          <w:noProof/>
          <w:szCs w:val="24"/>
        </w:rPr>
        <w:t>The Libyan Revolution and Its Aftermath2</w:t>
      </w:r>
      <w:r w:rsidRPr="005324BE">
        <w:rPr>
          <w:rFonts w:ascii="Calibri" w:hAnsi="Calibri" w:cs="Calibri"/>
          <w:noProof/>
          <w:szCs w:val="24"/>
        </w:rPr>
        <w:t>, edited by Peter Cole and Brian McQuinn. Oxford: Oxford University Press. doi:10.1093/acprof.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Ketchpel, S P. 1995. “Coalition Formation among Autonomous Agents.” </w:t>
      </w:r>
      <w:r w:rsidRPr="005324BE">
        <w:rPr>
          <w:rFonts w:ascii="Calibri" w:hAnsi="Calibri" w:cs="Calibri"/>
          <w:i/>
          <w:iCs/>
          <w:noProof/>
          <w:szCs w:val="24"/>
        </w:rPr>
        <w:t>From Reaction to Cognition</w:t>
      </w:r>
      <w:r w:rsidRPr="005324BE">
        <w:rPr>
          <w:rFonts w:ascii="Calibri" w:hAnsi="Calibri" w:cs="Calibri"/>
          <w:noProof/>
          <w:szCs w:val="24"/>
        </w:rPr>
        <w:t>, no. 957: 73–88.</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“Khalifa Haftar Forces Capture Key Libya Oil Terminals | Libya News | Al Jazeera.” 2017. </w:t>
      </w:r>
      <w:r w:rsidRPr="005324BE">
        <w:rPr>
          <w:rFonts w:ascii="Calibri" w:hAnsi="Calibri" w:cs="Calibri"/>
          <w:i/>
          <w:iCs/>
          <w:noProof/>
          <w:szCs w:val="24"/>
        </w:rPr>
        <w:t>Al-Jazeera</w:t>
      </w:r>
      <w:r w:rsidRPr="005324BE">
        <w:rPr>
          <w:rFonts w:ascii="Calibri" w:hAnsi="Calibri" w:cs="Calibri"/>
          <w:noProof/>
          <w:szCs w:val="24"/>
        </w:rPr>
        <w:t>. http://www.aljazeera.com/news/2017/03/khalifa-haftar-forces-capture-key-libya-oil-terminals-170314155659506.html.</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Kilcullen, David. 2010. </w:t>
      </w:r>
      <w:r w:rsidRPr="005324BE">
        <w:rPr>
          <w:rFonts w:ascii="Calibri" w:hAnsi="Calibri" w:cs="Calibri"/>
          <w:i/>
          <w:iCs/>
          <w:noProof/>
          <w:szCs w:val="24"/>
        </w:rPr>
        <w:t>Counterinsurgency</w:t>
      </w:r>
      <w:r w:rsidRPr="005324BE">
        <w:rPr>
          <w:rFonts w:ascii="Calibri" w:hAnsi="Calibri" w:cs="Calibri"/>
          <w:noProof/>
          <w:szCs w:val="24"/>
        </w:rPr>
        <w:t>. Oxford: Oxford University Press.</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Lacher, Wolfram. 2011. “Families, Tribes and Cities in the Libyan Revolution.” </w:t>
      </w:r>
      <w:r w:rsidRPr="005324BE">
        <w:rPr>
          <w:rFonts w:ascii="Calibri" w:hAnsi="Calibri" w:cs="Calibri"/>
          <w:i/>
          <w:iCs/>
          <w:noProof/>
          <w:szCs w:val="24"/>
        </w:rPr>
        <w:t>Middle East Policy</w:t>
      </w:r>
      <w:r w:rsidRPr="005324BE">
        <w:rPr>
          <w:rFonts w:ascii="Calibri" w:hAnsi="Calibri" w:cs="Calibri"/>
          <w:noProof/>
          <w:szCs w:val="24"/>
        </w:rPr>
        <w:t xml:space="preserve"> 18 (4): </w:t>
      </w:r>
      <w:r w:rsidRPr="005324BE">
        <w:rPr>
          <w:rFonts w:ascii="Calibri" w:hAnsi="Calibri" w:cs="Calibri"/>
          <w:noProof/>
          <w:szCs w:val="24"/>
        </w:rPr>
        <w:lastRenderedPageBreak/>
        <w:t>140–54. doi:10.1111/j.1475-4967.2011.00516.x.</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Macy, Michael W., and Robert Willer. 2002. “From Factors to Actors: Computational Sociology and Agent-Based Modeling.” </w:t>
      </w:r>
      <w:r w:rsidRPr="005324BE">
        <w:rPr>
          <w:rFonts w:ascii="Calibri" w:hAnsi="Calibri" w:cs="Calibri"/>
          <w:i/>
          <w:iCs/>
          <w:noProof/>
          <w:szCs w:val="24"/>
        </w:rPr>
        <w:t>Annual Review of Sociology</w:t>
      </w:r>
      <w:r w:rsidRPr="005324BE">
        <w:rPr>
          <w:rFonts w:ascii="Calibri" w:hAnsi="Calibri" w:cs="Calibri"/>
          <w:noProof/>
          <w:szCs w:val="24"/>
        </w:rPr>
        <w:t xml:space="preserve"> 28 (1): 143–66. doi:10.1146/annurev.soc.28.110601.141117.</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Masson, Marilyn A., and David A. Freidel. 2012. “An Argument for Classic Era Maya Market Exchange.” </w:t>
      </w:r>
      <w:r w:rsidRPr="005324BE">
        <w:rPr>
          <w:rFonts w:ascii="Calibri" w:hAnsi="Calibri" w:cs="Calibri"/>
          <w:i/>
          <w:iCs/>
          <w:noProof/>
          <w:szCs w:val="24"/>
        </w:rPr>
        <w:t>Journal of Anthropological Archaeology</w:t>
      </w:r>
      <w:r w:rsidRPr="005324BE">
        <w:rPr>
          <w:rFonts w:ascii="Calibri" w:hAnsi="Calibri" w:cs="Calibri"/>
          <w:noProof/>
          <w:szCs w:val="24"/>
        </w:rPr>
        <w:t xml:space="preserve"> 31 (4). Elsevier Inc.: 455–84. doi:10.1016/j.jaa.2012.03.007.</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Ronen, Yehudit. 2016. “Libya’s Descent into Chaos.” </w:t>
      </w:r>
      <w:r w:rsidRPr="005324BE">
        <w:rPr>
          <w:rFonts w:ascii="Calibri" w:hAnsi="Calibri" w:cs="Calibri"/>
          <w:i/>
          <w:iCs/>
          <w:noProof/>
          <w:szCs w:val="24"/>
        </w:rPr>
        <w:t>Middle East Quarterly</w:t>
      </w:r>
      <w:r w:rsidRPr="005324BE">
        <w:rPr>
          <w:rFonts w:ascii="Calibri" w:hAnsi="Calibri" w:cs="Calibri"/>
          <w:noProof/>
          <w:szCs w:val="24"/>
        </w:rPr>
        <w:t xml:space="preserve"> 23 (1): 1–9. http://www.meforum.org/5686/libya-descent-into-chaos.</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Shaw, Mark, and Fiona Mangan. 2014. </w:t>
      </w:r>
      <w:r w:rsidRPr="005324BE">
        <w:rPr>
          <w:rFonts w:ascii="Calibri" w:hAnsi="Calibri" w:cs="Calibri"/>
          <w:i/>
          <w:iCs/>
          <w:noProof/>
          <w:szCs w:val="24"/>
        </w:rPr>
        <w:t>Illicit Trafficking and Libya’s Transition: Profits and Losses</w:t>
      </w:r>
      <w:r w:rsidRPr="005324BE">
        <w:rPr>
          <w:rFonts w:ascii="Calibri" w:hAnsi="Calibri" w:cs="Calibri"/>
          <w:noProof/>
          <w:szCs w:val="24"/>
        </w:rPr>
        <w:t>. http://www.usip.org/sites/default/files/PW96-Illicit-Trafficking-and-Libyas-Transition.pdf.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Tempelhof, Tarkowski Susanne, and Manal Omar. 2012. “Special Report: Stakeholders of Libya’s February 17 Revolution,” 1–16. http://www-dev.usip.org/sites/default/files/SR 300.pdf.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rPr>
      </w:pPr>
      <w:r w:rsidRPr="005324BE">
        <w:rPr>
          <w:rFonts w:ascii="Calibri" w:hAnsi="Calibri" w:cs="Calibri"/>
          <w:noProof/>
          <w:szCs w:val="24"/>
        </w:rPr>
        <w:t xml:space="preserve">U.S. Energy Information Administration. 2016. “Country Analysis Brief: LIBYA.” </w:t>
      </w:r>
      <w:r w:rsidRPr="005324BE">
        <w:rPr>
          <w:rFonts w:ascii="Calibri" w:hAnsi="Calibri" w:cs="Calibri"/>
          <w:i/>
          <w:iCs/>
          <w:noProof/>
          <w:szCs w:val="24"/>
        </w:rPr>
        <w:t>US Energy Information Administration</w:t>
      </w:r>
      <w:r w:rsidRPr="005324BE">
        <w:rPr>
          <w:rFonts w:ascii="Calibri" w:hAnsi="Calibri" w:cs="Calibri"/>
          <w:noProof/>
          <w:szCs w:val="24"/>
        </w:rPr>
        <w:t xml:space="preserve"> 2013: 1–7. http://www.eia.gov/beta/international/analysis_includes/countries_long/Nigeria/nigeria.pdf.</w:t>
      </w:r>
    </w:p>
    <w:p w:rsidR="00F733F7" w:rsidRPr="00F733F7" w:rsidRDefault="00116F7E" w:rsidP="002F08D0">
      <w:pPr>
        <w:spacing w:after="0" w:line="480" w:lineRule="auto"/>
        <w:ind w:firstLine="720"/>
      </w:pPr>
      <w:r>
        <w:fldChar w:fldCharType="end"/>
      </w:r>
      <w:r>
        <w:t xml:space="preserve">  </w:t>
      </w:r>
      <w:r w:rsidR="00C2376E">
        <w:t xml:space="preserve"> </w:t>
      </w:r>
    </w:p>
    <w:p w:rsidR="00116F7E" w:rsidRDefault="00116F7E">
      <w:r>
        <w:br w:type="page"/>
      </w:r>
    </w:p>
    <w:p w:rsidR="002F08D0" w:rsidRDefault="002F08D0" w:rsidP="002F08D0">
      <w:pPr>
        <w:pStyle w:val="Heading1"/>
      </w:pPr>
      <w:r>
        <w:lastRenderedPageBreak/>
        <w:t xml:space="preserve">Appendix A: CSV Input of </w:t>
      </w:r>
      <w:r w:rsidR="00116F7E">
        <w:t xml:space="preserve">Groups and their </w:t>
      </w:r>
      <w:r>
        <w:t>Values</w:t>
      </w:r>
    </w:p>
    <w:p w:rsidR="002F08D0" w:rsidRPr="002F08D0" w:rsidRDefault="002F08D0" w:rsidP="002F08D0"/>
    <w:tbl>
      <w:tblPr>
        <w:tblW w:w="6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528"/>
        <w:gridCol w:w="1528"/>
        <w:gridCol w:w="1528"/>
      </w:tblGrid>
      <w:tr w:rsidR="002F08D0" w:rsidRPr="002F08D0" w:rsidTr="002F08D0">
        <w:trPr>
          <w:trHeight w:val="285"/>
          <w:tblHeader/>
          <w:jc w:val="center"/>
        </w:trPr>
        <w:tc>
          <w:tcPr>
            <w:tcW w:w="1527"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Tribe</w:t>
            </w:r>
          </w:p>
        </w:tc>
        <w:tc>
          <w:tcPr>
            <w:tcW w:w="1528"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Affinity</w:t>
            </w:r>
          </w:p>
        </w:tc>
        <w:tc>
          <w:tcPr>
            <w:tcW w:w="1528"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Military Capability</w:t>
            </w:r>
          </w:p>
        </w:tc>
        <w:tc>
          <w:tcPr>
            <w:tcW w:w="1528"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Economic Resources</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Ubaidat1</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Ubaidat2</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Masamir</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Masimir</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Msika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Ulum</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Rahmana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Marirat</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Qunashat</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Habun1</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Saada2</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Saada9</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Saada10</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Saada19</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Saada20</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Saada21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lastRenderedPageBreak/>
              <w:t>Unaffiliated6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el-</w:t>
            </w:r>
            <w:proofErr w:type="spellStart"/>
            <w:r w:rsidRPr="002F08D0">
              <w:rPr>
                <w:rFonts w:ascii="Calibri" w:eastAsia="Times New Roman" w:hAnsi="Calibri" w:cs="Calibri"/>
                <w:color w:val="000000"/>
              </w:rPr>
              <w:t>Mahjoub</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Zamoura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Kawafi</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Dababisa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Zawaiya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Sawalih</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Jarsha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Kawar</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Marghara9</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Marghara10</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Marghara11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Unaffiliated15</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Unaffiliated16</w:t>
            </w:r>
            <w:proofErr w:type="spellEnd"/>
            <w:r w:rsidRPr="002F08D0">
              <w:rPr>
                <w:rFonts w:ascii="Calibri" w:eastAsia="Times New Roman" w:hAnsi="Calibri" w:cs="Calibri"/>
                <w:color w:val="000000"/>
              </w:rPr>
              <w:t xml:space="preserve">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Beni Salim</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Beni </w:t>
            </w:r>
            <w:proofErr w:type="spellStart"/>
            <w:r w:rsidRPr="002F08D0">
              <w:rPr>
                <w:rFonts w:ascii="Calibri" w:eastAsia="Times New Roman" w:hAnsi="Calibri" w:cs="Calibri"/>
                <w:color w:val="000000"/>
              </w:rPr>
              <w:t>Salim2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Beni </w:t>
            </w:r>
            <w:proofErr w:type="spellStart"/>
            <w:r w:rsidRPr="002F08D0">
              <w:rPr>
                <w:rFonts w:ascii="Calibri" w:eastAsia="Times New Roman" w:hAnsi="Calibri" w:cs="Calibri"/>
                <w:color w:val="000000"/>
              </w:rPr>
              <w:t>Hilal</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Magariha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Gaddafi</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Zawiya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Maslata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Masrata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Kargala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Tawajeer</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Ramla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Awaqir</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w:t>
            </w:r>
            <w:proofErr w:type="spellStart"/>
            <w:r w:rsidRPr="002F08D0">
              <w:rPr>
                <w:rFonts w:ascii="Calibri" w:eastAsia="Times New Roman" w:hAnsi="Calibri" w:cs="Calibri"/>
                <w:color w:val="000000"/>
              </w:rPr>
              <w:t>Mujabra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lastRenderedPageBreak/>
              <w:t>Warfalla6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Warfalla9</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Warfalla10</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Warfalla17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Sadat</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Jmamla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Sabayi</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Mtarfa1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Matarfa2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Unaffiliated9</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Unaffiliated10</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Zawayia6</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Zawayia9</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Zawayia10</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Zawayia11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Awlad</w:t>
            </w:r>
            <w:proofErr w:type="spellEnd"/>
            <w:r w:rsidRPr="002F08D0">
              <w:rPr>
                <w:rFonts w:ascii="Calibri" w:eastAsia="Times New Roman" w:hAnsi="Calibri" w:cs="Calibri"/>
                <w:color w:val="000000"/>
              </w:rPr>
              <w:t xml:space="preserve"> Bu </w:t>
            </w:r>
            <w:proofErr w:type="spellStart"/>
            <w:r w:rsidRPr="002F08D0">
              <w:rPr>
                <w:rFonts w:ascii="Calibri" w:eastAsia="Times New Roman" w:hAnsi="Calibri" w:cs="Calibri"/>
                <w:color w:val="000000"/>
              </w:rPr>
              <w:t>Saif</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Magharha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Gaddafi</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Awlad</w:t>
            </w:r>
            <w:proofErr w:type="spellEnd"/>
            <w:r w:rsidRPr="002F08D0">
              <w:rPr>
                <w:rFonts w:ascii="Calibri" w:eastAsia="Times New Roman" w:hAnsi="Calibri" w:cs="Calibri"/>
                <w:color w:val="000000"/>
              </w:rPr>
              <w:t xml:space="preserve"> </w:t>
            </w:r>
            <w:proofErr w:type="spellStart"/>
            <w:r w:rsidRPr="002F08D0">
              <w:rPr>
                <w:rFonts w:ascii="Calibri" w:eastAsia="Times New Roman" w:hAnsi="Calibri" w:cs="Calibri"/>
                <w:color w:val="000000"/>
              </w:rPr>
              <w:t>Sulaiman</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Hasawna</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Tebu</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Taureg1</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lastRenderedPageBreak/>
              <w:t>Taureg2</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Taureg3</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Taureg4</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Taureg5</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Unaffiliated17</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proofErr w:type="spellStart"/>
            <w:r w:rsidRPr="002F08D0">
              <w:rPr>
                <w:rFonts w:ascii="Calibri" w:eastAsia="Times New Roman" w:hAnsi="Calibri" w:cs="Calibri"/>
                <w:color w:val="000000"/>
              </w:rPr>
              <w:t>Unaffiliated18</w:t>
            </w:r>
            <w:proofErr w:type="spellEnd"/>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bl>
    <w:p w:rsidR="00783663" w:rsidRPr="003A5E96" w:rsidRDefault="00783663" w:rsidP="002F08D0">
      <w:r>
        <w:tab/>
        <w:t xml:space="preserve"> </w:t>
      </w:r>
    </w:p>
    <w:p w:rsidR="00E36769" w:rsidRPr="007301C5" w:rsidRDefault="007301C5" w:rsidP="009F7A3B">
      <w:pPr>
        <w:spacing w:after="0" w:line="480" w:lineRule="auto"/>
        <w:rPr>
          <w:vertAlign w:val="superscript"/>
        </w:rPr>
      </w:pPr>
      <w:r>
        <w:t xml:space="preserve">  </w:t>
      </w:r>
    </w:p>
    <w:sectPr w:rsidR="00E36769" w:rsidRPr="007301C5" w:rsidSect="006D58DD">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31A" w:rsidRDefault="0067231A" w:rsidP="006D79FB">
      <w:pPr>
        <w:spacing w:after="0" w:line="240" w:lineRule="auto"/>
      </w:pPr>
      <w:r>
        <w:separator/>
      </w:r>
    </w:p>
  </w:endnote>
  <w:endnote w:type="continuationSeparator" w:id="0">
    <w:p w:rsidR="0067231A" w:rsidRDefault="0067231A" w:rsidP="006D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22769"/>
      <w:docPartObj>
        <w:docPartGallery w:val="Page Numbers (Bottom of Page)"/>
        <w:docPartUnique/>
      </w:docPartObj>
    </w:sdtPr>
    <w:sdtEndPr>
      <w:rPr>
        <w:noProof/>
      </w:rPr>
    </w:sdtEndPr>
    <w:sdtContent>
      <w:p w:rsidR="006D58DD" w:rsidRDefault="006D58DD">
        <w:pPr>
          <w:pStyle w:val="Footer"/>
          <w:jc w:val="center"/>
        </w:pPr>
        <w:r>
          <w:fldChar w:fldCharType="begin"/>
        </w:r>
        <w:r>
          <w:instrText xml:space="preserve"> PAGE   \* MERGEFORMAT </w:instrText>
        </w:r>
        <w:r>
          <w:fldChar w:fldCharType="separate"/>
        </w:r>
        <w:r w:rsidR="00170C2D">
          <w:rPr>
            <w:noProof/>
          </w:rPr>
          <w:t>25</w:t>
        </w:r>
        <w:r>
          <w:rPr>
            <w:noProof/>
          </w:rPr>
          <w:fldChar w:fldCharType="end"/>
        </w:r>
      </w:p>
    </w:sdtContent>
  </w:sdt>
  <w:p w:rsidR="006D58DD" w:rsidRDefault="006D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31A" w:rsidRDefault="0067231A" w:rsidP="006D79FB">
      <w:pPr>
        <w:spacing w:after="0" w:line="240" w:lineRule="auto"/>
      </w:pPr>
      <w:r>
        <w:separator/>
      </w:r>
    </w:p>
  </w:footnote>
  <w:footnote w:type="continuationSeparator" w:id="0">
    <w:p w:rsidR="0067231A" w:rsidRDefault="0067231A" w:rsidP="006D7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1C44"/>
    <w:multiLevelType w:val="hybridMultilevel"/>
    <w:tmpl w:val="D2AA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CB"/>
    <w:rsid w:val="00034683"/>
    <w:rsid w:val="0007190B"/>
    <w:rsid w:val="000A0DFB"/>
    <w:rsid w:val="000B37A4"/>
    <w:rsid w:val="000B604F"/>
    <w:rsid w:val="00111202"/>
    <w:rsid w:val="00116F7E"/>
    <w:rsid w:val="00131731"/>
    <w:rsid w:val="001328A0"/>
    <w:rsid w:val="001474FD"/>
    <w:rsid w:val="00161143"/>
    <w:rsid w:val="00170C2D"/>
    <w:rsid w:val="00196A01"/>
    <w:rsid w:val="001C4F5C"/>
    <w:rsid w:val="002013BB"/>
    <w:rsid w:val="00227EE9"/>
    <w:rsid w:val="002530CF"/>
    <w:rsid w:val="002B649F"/>
    <w:rsid w:val="002C6E43"/>
    <w:rsid w:val="002F08D0"/>
    <w:rsid w:val="002F11A1"/>
    <w:rsid w:val="002F16A2"/>
    <w:rsid w:val="002F208A"/>
    <w:rsid w:val="0031260E"/>
    <w:rsid w:val="0036724B"/>
    <w:rsid w:val="0038208B"/>
    <w:rsid w:val="0039597A"/>
    <w:rsid w:val="003A5E96"/>
    <w:rsid w:val="003B4179"/>
    <w:rsid w:val="003C7235"/>
    <w:rsid w:val="0041475F"/>
    <w:rsid w:val="0042149F"/>
    <w:rsid w:val="00441A45"/>
    <w:rsid w:val="0044318D"/>
    <w:rsid w:val="00453BFD"/>
    <w:rsid w:val="00456263"/>
    <w:rsid w:val="00463323"/>
    <w:rsid w:val="00491847"/>
    <w:rsid w:val="00496D1D"/>
    <w:rsid w:val="00507C84"/>
    <w:rsid w:val="00512A4B"/>
    <w:rsid w:val="0051563D"/>
    <w:rsid w:val="005324BE"/>
    <w:rsid w:val="005325F5"/>
    <w:rsid w:val="0054306D"/>
    <w:rsid w:val="00550471"/>
    <w:rsid w:val="00576D66"/>
    <w:rsid w:val="005770F2"/>
    <w:rsid w:val="005D34C1"/>
    <w:rsid w:val="005E1078"/>
    <w:rsid w:val="005F1F4D"/>
    <w:rsid w:val="005F528B"/>
    <w:rsid w:val="00604B0A"/>
    <w:rsid w:val="0063728C"/>
    <w:rsid w:val="006639BE"/>
    <w:rsid w:val="0067231A"/>
    <w:rsid w:val="006942F2"/>
    <w:rsid w:val="006973B6"/>
    <w:rsid w:val="006B25CB"/>
    <w:rsid w:val="006C3F5F"/>
    <w:rsid w:val="006C5502"/>
    <w:rsid w:val="006D31C8"/>
    <w:rsid w:val="006D58DD"/>
    <w:rsid w:val="006D79FB"/>
    <w:rsid w:val="00724204"/>
    <w:rsid w:val="007301C5"/>
    <w:rsid w:val="00740FB0"/>
    <w:rsid w:val="00743980"/>
    <w:rsid w:val="00760B26"/>
    <w:rsid w:val="00783663"/>
    <w:rsid w:val="007857E7"/>
    <w:rsid w:val="007A35B4"/>
    <w:rsid w:val="007C056E"/>
    <w:rsid w:val="007D4C56"/>
    <w:rsid w:val="007E15E1"/>
    <w:rsid w:val="007F4C5E"/>
    <w:rsid w:val="007F59A6"/>
    <w:rsid w:val="0086139D"/>
    <w:rsid w:val="00862D2E"/>
    <w:rsid w:val="008817DB"/>
    <w:rsid w:val="00896090"/>
    <w:rsid w:val="008A2384"/>
    <w:rsid w:val="008A41BB"/>
    <w:rsid w:val="008C1772"/>
    <w:rsid w:val="008C6828"/>
    <w:rsid w:val="008D6D99"/>
    <w:rsid w:val="00942016"/>
    <w:rsid w:val="00947907"/>
    <w:rsid w:val="0095651A"/>
    <w:rsid w:val="00963084"/>
    <w:rsid w:val="00965153"/>
    <w:rsid w:val="009C04BE"/>
    <w:rsid w:val="009E5DBD"/>
    <w:rsid w:val="009F7A3B"/>
    <w:rsid w:val="00A06B0D"/>
    <w:rsid w:val="00A0771C"/>
    <w:rsid w:val="00A139E6"/>
    <w:rsid w:val="00A27CAE"/>
    <w:rsid w:val="00A41646"/>
    <w:rsid w:val="00A42E5A"/>
    <w:rsid w:val="00A9120C"/>
    <w:rsid w:val="00AC410D"/>
    <w:rsid w:val="00AC4266"/>
    <w:rsid w:val="00AE401F"/>
    <w:rsid w:val="00AF6455"/>
    <w:rsid w:val="00B178E9"/>
    <w:rsid w:val="00B35408"/>
    <w:rsid w:val="00B44FFA"/>
    <w:rsid w:val="00B52CDD"/>
    <w:rsid w:val="00B61470"/>
    <w:rsid w:val="00B64105"/>
    <w:rsid w:val="00B658F7"/>
    <w:rsid w:val="00B701DA"/>
    <w:rsid w:val="00B81E46"/>
    <w:rsid w:val="00BA1107"/>
    <w:rsid w:val="00BD042C"/>
    <w:rsid w:val="00BD30C4"/>
    <w:rsid w:val="00BF0AC3"/>
    <w:rsid w:val="00BF3958"/>
    <w:rsid w:val="00BF5D12"/>
    <w:rsid w:val="00C2376E"/>
    <w:rsid w:val="00C24DF0"/>
    <w:rsid w:val="00C4020D"/>
    <w:rsid w:val="00C63391"/>
    <w:rsid w:val="00CA3F26"/>
    <w:rsid w:val="00CD20F1"/>
    <w:rsid w:val="00CD7ACC"/>
    <w:rsid w:val="00CF4A7A"/>
    <w:rsid w:val="00D02B32"/>
    <w:rsid w:val="00D0624B"/>
    <w:rsid w:val="00D80B94"/>
    <w:rsid w:val="00DA5BDA"/>
    <w:rsid w:val="00DC1AAB"/>
    <w:rsid w:val="00DC5A58"/>
    <w:rsid w:val="00DD38FA"/>
    <w:rsid w:val="00DD4913"/>
    <w:rsid w:val="00DE06FF"/>
    <w:rsid w:val="00DF0FEB"/>
    <w:rsid w:val="00E34DE0"/>
    <w:rsid w:val="00E36769"/>
    <w:rsid w:val="00E739A0"/>
    <w:rsid w:val="00E918F1"/>
    <w:rsid w:val="00E92707"/>
    <w:rsid w:val="00E97773"/>
    <w:rsid w:val="00ED798E"/>
    <w:rsid w:val="00F05B3E"/>
    <w:rsid w:val="00F13837"/>
    <w:rsid w:val="00F733F7"/>
    <w:rsid w:val="00F74497"/>
    <w:rsid w:val="00F901AF"/>
    <w:rsid w:val="00FA412E"/>
    <w:rsid w:val="00FB3807"/>
    <w:rsid w:val="00FC72B8"/>
    <w:rsid w:val="00FD7A9B"/>
    <w:rsid w:val="00FF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65342-2D53-4D2B-9013-62149B5C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D7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79FB"/>
    <w:rPr>
      <w:sz w:val="20"/>
      <w:szCs w:val="20"/>
    </w:rPr>
  </w:style>
  <w:style w:type="character" w:styleId="FootnoteReference">
    <w:name w:val="footnote reference"/>
    <w:basedOn w:val="DefaultParagraphFont"/>
    <w:uiPriority w:val="99"/>
    <w:semiHidden/>
    <w:unhideWhenUsed/>
    <w:rsid w:val="006D79FB"/>
    <w:rPr>
      <w:vertAlign w:val="superscript"/>
    </w:rPr>
  </w:style>
  <w:style w:type="character" w:customStyle="1" w:styleId="Heading1Char">
    <w:name w:val="Heading 1 Char"/>
    <w:basedOn w:val="DefaultParagraphFont"/>
    <w:link w:val="Heading1"/>
    <w:uiPriority w:val="9"/>
    <w:rsid w:val="00A06B0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06B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6B0D"/>
    <w:rPr>
      <w:rFonts w:eastAsiaTheme="minorEastAsia"/>
      <w:color w:val="5A5A5A" w:themeColor="text1" w:themeTint="A5"/>
      <w:spacing w:val="15"/>
    </w:rPr>
  </w:style>
  <w:style w:type="character" w:styleId="PlaceholderText">
    <w:name w:val="Placeholder Text"/>
    <w:basedOn w:val="DefaultParagraphFont"/>
    <w:uiPriority w:val="99"/>
    <w:semiHidden/>
    <w:rsid w:val="00604B0A"/>
    <w:rPr>
      <w:color w:val="808080"/>
    </w:rPr>
  </w:style>
  <w:style w:type="paragraph" w:styleId="Title">
    <w:name w:val="Title"/>
    <w:basedOn w:val="Normal"/>
    <w:next w:val="Normal"/>
    <w:link w:val="TitleChar"/>
    <w:uiPriority w:val="10"/>
    <w:qFormat/>
    <w:rsid w:val="00AC4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6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43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80"/>
    <w:rPr>
      <w:rFonts w:ascii="Segoe UI" w:hAnsi="Segoe UI" w:cs="Segoe UI"/>
      <w:sz w:val="18"/>
      <w:szCs w:val="18"/>
    </w:rPr>
  </w:style>
  <w:style w:type="paragraph" w:styleId="Header">
    <w:name w:val="header"/>
    <w:basedOn w:val="Normal"/>
    <w:link w:val="HeaderChar"/>
    <w:uiPriority w:val="99"/>
    <w:unhideWhenUsed/>
    <w:rsid w:val="006D5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DD"/>
  </w:style>
  <w:style w:type="paragraph" w:styleId="Footer">
    <w:name w:val="footer"/>
    <w:basedOn w:val="Normal"/>
    <w:link w:val="FooterChar"/>
    <w:uiPriority w:val="99"/>
    <w:unhideWhenUsed/>
    <w:rsid w:val="006D5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508313">
      <w:bodyDiv w:val="1"/>
      <w:marLeft w:val="0"/>
      <w:marRight w:val="0"/>
      <w:marTop w:val="0"/>
      <w:marBottom w:val="0"/>
      <w:divBdr>
        <w:top w:val="none" w:sz="0" w:space="0" w:color="auto"/>
        <w:left w:val="none" w:sz="0" w:space="0" w:color="auto"/>
        <w:bottom w:val="none" w:sz="0" w:space="0" w:color="auto"/>
        <w:right w:val="none" w:sz="0" w:space="0" w:color="auto"/>
      </w:divBdr>
    </w:div>
    <w:div w:id="19647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D665D-5A95-44DA-A08C-7A7C4A24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26</Pages>
  <Words>13561</Words>
  <Characters>77299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Pike</dc:creator>
  <cp:keywords/>
  <dc:description/>
  <cp:lastModifiedBy>Tom Pike</cp:lastModifiedBy>
  <cp:revision>6</cp:revision>
  <cp:lastPrinted>2017-09-01T16:03:00Z</cp:lastPrinted>
  <dcterms:created xsi:type="dcterms:W3CDTF">2017-09-02T10:25:00Z</dcterms:created>
  <dcterms:modified xsi:type="dcterms:W3CDTF">2017-09-07T12:17:00Z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1e4fc8b6-2d1a-3377-b269-15ee64e2e710</vt:lpwstr>
  </property>
  <property fmtid="{D5CDD505-2E9C-101B-9397-08002B2CF9AE}" pid="24" name="Mendeley Citation Style_1">
    <vt:lpwstr>http://www.zotero.org/styles/chicago-author-date</vt:lpwstr>
  </property>
</Properties>
</file>