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A17" w:rsidRDefault="003D6A17" w:rsidP="000A2E6E">
      <w:pPr>
        <w:tabs>
          <w:tab w:val="clear" w:pos="360"/>
          <w:tab w:val="clear" w:pos="720"/>
          <w:tab w:val="clear" w:pos="1080"/>
          <w:tab w:val="left" w:pos="3460"/>
        </w:tabs>
        <w:spacing w:after="0" w:line="276" w:lineRule="auto"/>
        <w:jc w:val="center"/>
        <w:rPr>
          <w:szCs w:val="22"/>
        </w:rPr>
      </w:pPr>
    </w:p>
    <w:p w:rsidR="00CA3CF7" w:rsidRPr="00747ED9" w:rsidRDefault="00CA3CF7" w:rsidP="000A2E6E">
      <w:pPr>
        <w:tabs>
          <w:tab w:val="clear" w:pos="360"/>
          <w:tab w:val="clear" w:pos="720"/>
          <w:tab w:val="clear" w:pos="1080"/>
          <w:tab w:val="left" w:pos="3460"/>
        </w:tabs>
        <w:spacing w:after="0" w:line="276" w:lineRule="auto"/>
        <w:jc w:val="center"/>
        <w:rPr>
          <w:szCs w:val="22"/>
        </w:rPr>
      </w:pPr>
    </w:p>
    <w:p w:rsidR="003D6A17" w:rsidRPr="00045440" w:rsidRDefault="004E7A2E" w:rsidP="00045440">
      <w:pPr>
        <w:pStyle w:val="Title"/>
      </w:pPr>
      <w:r>
        <w:t>Integrating computational tools in</w:t>
      </w:r>
      <w:r w:rsidR="00C62B96">
        <w:t>to</w:t>
      </w:r>
      <w:r>
        <w:t xml:space="preserve"> foreign policy </w:t>
      </w:r>
    </w:p>
    <w:p w:rsidR="002202C1" w:rsidRDefault="002202C1" w:rsidP="000A2E6E">
      <w:pPr>
        <w:pStyle w:val="NormalIndent"/>
        <w:spacing w:after="0" w:line="276" w:lineRule="auto"/>
        <w:ind w:firstLine="0"/>
        <w:jc w:val="center"/>
        <w:rPr>
          <w:szCs w:val="22"/>
        </w:rPr>
      </w:pPr>
    </w:p>
    <w:tbl>
      <w:tblPr>
        <w:tblW w:w="4804" w:type="dxa"/>
        <w:tblInd w:w="2280" w:type="dxa"/>
        <w:tblLook w:val="01E0" w:firstRow="1" w:lastRow="1" w:firstColumn="1" w:lastColumn="1" w:noHBand="0" w:noVBand="0"/>
      </w:tblPr>
      <w:tblGrid>
        <w:gridCol w:w="4804"/>
      </w:tblGrid>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Thomas D. Pike</w:t>
            </w:r>
          </w:p>
        </w:tc>
      </w:tr>
      <w:tr w:rsidR="00DB4432" w:rsidRPr="001D6E19" w:rsidTr="00DB4432">
        <w:tc>
          <w:tcPr>
            <w:tcW w:w="4804" w:type="dxa"/>
          </w:tcPr>
          <w:p w:rsidR="00DB4432" w:rsidRDefault="00DB4432" w:rsidP="001D6E19">
            <w:pPr>
              <w:pStyle w:val="NormalIndent"/>
              <w:spacing w:after="0" w:line="276" w:lineRule="auto"/>
              <w:ind w:firstLine="0"/>
              <w:jc w:val="center"/>
              <w:rPr>
                <w:szCs w:val="22"/>
              </w:rPr>
            </w:pPr>
            <w:r>
              <w:rPr>
                <w:szCs w:val="22"/>
              </w:rPr>
              <w:t xml:space="preserve">Department of </w:t>
            </w:r>
          </w:p>
          <w:p w:rsidR="00DB4432" w:rsidRPr="00CA441E" w:rsidRDefault="00DB4432" w:rsidP="001D6E19">
            <w:pPr>
              <w:pStyle w:val="NormalIndent"/>
              <w:spacing w:after="0" w:line="276" w:lineRule="auto"/>
              <w:ind w:firstLine="0"/>
              <w:jc w:val="center"/>
              <w:rPr>
                <w:szCs w:val="22"/>
              </w:rPr>
            </w:pPr>
            <w:r>
              <w:rPr>
                <w:szCs w:val="22"/>
              </w:rPr>
              <w:t>Computational Social Science</w:t>
            </w:r>
          </w:p>
        </w:tc>
      </w:tr>
      <w:tr w:rsidR="00DB4432" w:rsidRPr="001D6E19" w:rsidTr="00DB4432">
        <w:tc>
          <w:tcPr>
            <w:tcW w:w="4804" w:type="dxa"/>
            <w:vAlign w:val="center"/>
          </w:tcPr>
          <w:p w:rsidR="00DB4432" w:rsidRDefault="00DB4432" w:rsidP="001D6E19">
            <w:pPr>
              <w:pStyle w:val="NormalIndent"/>
              <w:spacing w:after="0" w:line="276" w:lineRule="auto"/>
              <w:ind w:firstLine="0"/>
              <w:jc w:val="center"/>
              <w:rPr>
                <w:szCs w:val="22"/>
              </w:rPr>
            </w:pPr>
            <w:r>
              <w:rPr>
                <w:szCs w:val="22"/>
              </w:rPr>
              <w:t>George Mason University</w:t>
            </w:r>
          </w:p>
          <w:p w:rsidR="00DB4432" w:rsidRDefault="00DB4432" w:rsidP="001D6E19">
            <w:pPr>
              <w:pStyle w:val="NormalIndent"/>
              <w:spacing w:after="0" w:line="276" w:lineRule="auto"/>
              <w:ind w:firstLine="0"/>
              <w:jc w:val="center"/>
              <w:rPr>
                <w:szCs w:val="22"/>
              </w:rPr>
            </w:pPr>
            <w:r>
              <w:rPr>
                <w:szCs w:val="22"/>
              </w:rPr>
              <w:t>4400 University Drive</w:t>
            </w:r>
          </w:p>
          <w:p w:rsidR="00DB4432" w:rsidRPr="00CA441E" w:rsidRDefault="00DB4432" w:rsidP="009C546F">
            <w:pPr>
              <w:pStyle w:val="NormalIndent"/>
              <w:spacing w:after="0" w:line="276" w:lineRule="auto"/>
              <w:ind w:firstLine="0"/>
              <w:jc w:val="center"/>
              <w:rPr>
                <w:szCs w:val="22"/>
              </w:rPr>
            </w:pPr>
            <w:r>
              <w:rPr>
                <w:szCs w:val="22"/>
              </w:rPr>
              <w:t>Fairfax, VA, USA</w:t>
            </w:r>
          </w:p>
        </w:tc>
      </w:tr>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tpike3@gmu.edu</w:t>
            </w:r>
          </w:p>
        </w:tc>
      </w:tr>
    </w:tbl>
    <w:p w:rsidR="003D6A17" w:rsidRPr="00747ED9" w:rsidRDefault="003D6A17" w:rsidP="000A2E6E">
      <w:pPr>
        <w:pStyle w:val="NormalIndent"/>
        <w:spacing w:after="0" w:line="276" w:lineRule="auto"/>
        <w:ind w:firstLine="0"/>
        <w:jc w:val="center"/>
        <w:rPr>
          <w:szCs w:val="22"/>
        </w:rPr>
      </w:pPr>
    </w:p>
    <w:p w:rsidR="003D6A17" w:rsidRPr="00367E5A" w:rsidRDefault="003D6A17" w:rsidP="00FD788A">
      <w:pPr>
        <w:pStyle w:val="AbstractHeading"/>
      </w:pPr>
      <w:proofErr w:type="gramStart"/>
      <w:r w:rsidRPr="00367E5A">
        <w:t>ABSTRACT</w:t>
      </w:r>
      <w:proofErr w:type="gramEnd"/>
    </w:p>
    <w:p w:rsidR="006C507F" w:rsidRDefault="00C62B96" w:rsidP="006C507F">
      <w:r>
        <w:t>This paper conducts a proof of concept for the integration of computational tools into U.S. foreign policy. Through the application of the bilateral Shapley value, based on a qualitative assessment of Libyan groups, a computational model produces real world agreement with the ongoing civil conflict</w:t>
      </w:r>
      <w:r w:rsidR="00FD0076">
        <w:t xml:space="preserve"> and explores different policy options</w:t>
      </w:r>
      <w:r>
        <w:t xml:space="preserve">. </w:t>
      </w:r>
      <w:r w:rsidR="00FD0076">
        <w:t xml:space="preserve">These results provide insights into the situation in Libya as well as </w:t>
      </w:r>
      <w:r w:rsidR="00E5760F">
        <w:t xml:space="preserve">possible </w:t>
      </w:r>
      <w:r w:rsidR="00FD0076">
        <w:t xml:space="preserve">implications for foreign intervention. This approach shows the potential of computational tools to aid foreign policy decision by exploring the optimal coalition formation of 128 groups and </w:t>
      </w:r>
      <w:r w:rsidR="00E5760F">
        <w:t xml:space="preserve">the underlying algorithm </w:t>
      </w:r>
      <w:r w:rsidR="00FD0076">
        <w:t xml:space="preserve">can </w:t>
      </w:r>
      <w:proofErr w:type="gramStart"/>
      <w:r w:rsidR="00FD0076">
        <w:t>be implemented</w:t>
      </w:r>
      <w:proofErr w:type="gramEnd"/>
      <w:r w:rsidR="00FD0076">
        <w:t xml:space="preserve"> in one line of code. As the Shapley value is one approach among many, rich libraries of such algorithms may prove invaluable to foreign policy analysis and implementation</w:t>
      </w:r>
      <w:proofErr w:type="gramStart"/>
      <w:r w:rsidR="00FD0076">
        <w:t xml:space="preserve">.  </w:t>
      </w:r>
      <w:proofErr w:type="gramEnd"/>
    </w:p>
    <w:p w:rsidR="006C507F" w:rsidRDefault="006C507F" w:rsidP="006C507F">
      <w:r w:rsidRPr="006C507F">
        <w:rPr>
          <w:b/>
        </w:rPr>
        <w:t>Keywords:</w:t>
      </w:r>
      <w:r>
        <w:t xml:space="preserve"> </w:t>
      </w:r>
      <w:r w:rsidR="00C62B96">
        <w:t>Libya,</w:t>
      </w:r>
      <w:r w:rsidR="00821741">
        <w:t xml:space="preserve"> Intervention, Policy, Analysis, Intelligence</w:t>
      </w:r>
      <w:r>
        <w:t xml:space="preserve">. </w:t>
      </w:r>
    </w:p>
    <w:p w:rsidR="003D6A17" w:rsidRPr="00220434" w:rsidRDefault="003D6A17" w:rsidP="00220434">
      <w:pPr>
        <w:pStyle w:val="Heading1"/>
      </w:pPr>
      <w:r w:rsidRPr="00220434">
        <w:t>INTRODUCTION</w:t>
      </w:r>
    </w:p>
    <w:p w:rsidR="00E70DAC" w:rsidRDefault="006728BF" w:rsidP="00E70DAC">
      <w:pPr>
        <w:pStyle w:val="Heading2"/>
      </w:pPr>
      <w:bookmarkStart w:id="0" w:name="_Hlk497472988"/>
      <w:r>
        <w:t>Concept</w:t>
      </w:r>
    </w:p>
    <w:p w:rsidR="003B6318" w:rsidRDefault="003B6318" w:rsidP="00CA2B20">
      <w:r>
        <w:t xml:space="preserve">Computational </w:t>
      </w:r>
      <w:r w:rsidR="00896806">
        <w:t xml:space="preserve">tools </w:t>
      </w:r>
      <w:r>
        <w:t xml:space="preserve">have the potential to dramatically aid analysts </w:t>
      </w:r>
      <w:r w:rsidR="007E4F00">
        <w:t xml:space="preserve">and decision makers </w:t>
      </w:r>
      <w:r>
        <w:t>as they seek to understand the complexities of foreign populations</w:t>
      </w:r>
      <w:proofErr w:type="gramStart"/>
      <w:r>
        <w:t xml:space="preserve">.  </w:t>
      </w:r>
      <w:proofErr w:type="gramEnd"/>
      <w:r w:rsidR="00F565E1">
        <w:t>Integrating</w:t>
      </w:r>
      <w:r w:rsidR="00896806">
        <w:t xml:space="preserve"> computational </w:t>
      </w:r>
      <w:r w:rsidR="002738D5">
        <w:t>tools</w:t>
      </w:r>
      <w:r>
        <w:t xml:space="preserve"> </w:t>
      </w:r>
      <w:r w:rsidR="00896806">
        <w:t xml:space="preserve">can </w:t>
      </w:r>
      <w:r>
        <w:t xml:space="preserve">allow </w:t>
      </w:r>
      <w:r w:rsidR="002738D5">
        <w:t>analysts</w:t>
      </w:r>
      <w:r>
        <w:t xml:space="preserve"> to </w:t>
      </w:r>
      <w:r w:rsidR="00896806">
        <w:t xml:space="preserve">leverage </w:t>
      </w:r>
      <w:r>
        <w:t xml:space="preserve">highly developed theories </w:t>
      </w:r>
      <w:r w:rsidR="00896806">
        <w:t xml:space="preserve">as they </w:t>
      </w:r>
      <w:r w:rsidR="0094391F">
        <w:t>build</w:t>
      </w:r>
      <w:r w:rsidR="00896806">
        <w:t xml:space="preserve"> models to understand their phenomenon of </w:t>
      </w:r>
      <w:r w:rsidR="007E4F00">
        <w:t>concern</w:t>
      </w:r>
      <w:r>
        <w:t>,</w:t>
      </w:r>
      <w:r w:rsidR="00896806">
        <w:t xml:space="preserve"> </w:t>
      </w:r>
      <w:proofErr w:type="gramStart"/>
      <w:r w:rsidR="0094391F">
        <w:t>and</w:t>
      </w:r>
      <w:r w:rsidR="00896806">
        <w:t xml:space="preserve"> </w:t>
      </w:r>
      <w:r>
        <w:t xml:space="preserve"> experiment</w:t>
      </w:r>
      <w:proofErr w:type="gramEnd"/>
      <w:r>
        <w:t xml:space="preserve"> with their models to develop richer</w:t>
      </w:r>
      <w:r w:rsidR="005D0E56">
        <w:t>,</w:t>
      </w:r>
      <w:r>
        <w:t xml:space="preserve"> more rigorous assessment</w:t>
      </w:r>
      <w:r w:rsidR="002738D5">
        <w:t>s</w:t>
      </w:r>
      <w:r>
        <w:t>.</w:t>
      </w:r>
    </w:p>
    <w:p w:rsidR="00E5760F" w:rsidRDefault="003B6318" w:rsidP="00CA2B20">
      <w:r>
        <w:t xml:space="preserve">Machine learning libraries such as </w:t>
      </w:r>
      <w:proofErr w:type="spellStart"/>
      <w:r>
        <w:t>Scikit</w:t>
      </w:r>
      <w:proofErr w:type="spellEnd"/>
      <w:r>
        <w:t>-learn and Tensor flow provide a template</w:t>
      </w:r>
      <w:r w:rsidR="005D0E56">
        <w:t xml:space="preserve"> for </w:t>
      </w:r>
      <w:r w:rsidR="00227EA2">
        <w:t xml:space="preserve">how </w:t>
      </w:r>
      <w:r w:rsidR="005D0E56">
        <w:t xml:space="preserve">this can </w:t>
      </w:r>
      <w:proofErr w:type="gramStart"/>
      <w:r w:rsidR="005D0E56">
        <w:t>be accomplished</w:t>
      </w:r>
      <w:proofErr w:type="gramEnd"/>
      <w:r w:rsidR="005D0E56">
        <w:t xml:space="preserve">. Data scientists do not have to rewrite logistic regression equations, principal component analysis or k-means </w:t>
      </w:r>
      <w:proofErr w:type="gramStart"/>
      <w:r w:rsidR="005D0E56">
        <w:t xml:space="preserve">clustering </w:t>
      </w:r>
      <w:r>
        <w:t xml:space="preserve"> </w:t>
      </w:r>
      <w:r w:rsidR="00227EA2">
        <w:t>algorithms</w:t>
      </w:r>
      <w:proofErr w:type="gramEnd"/>
      <w:r w:rsidR="00227EA2">
        <w:t xml:space="preserve">. Instead, they focus on their data and are able to </w:t>
      </w:r>
      <w:r w:rsidR="002738D5">
        <w:t>employ various machine learning tools</w:t>
      </w:r>
      <w:r w:rsidR="00227EA2">
        <w:t xml:space="preserve"> </w:t>
      </w:r>
      <w:proofErr w:type="gramStart"/>
      <w:r w:rsidR="00227EA2">
        <w:t xml:space="preserve">with </w:t>
      </w:r>
      <w:r w:rsidR="007039AD">
        <w:t xml:space="preserve"> a</w:t>
      </w:r>
      <w:proofErr w:type="gramEnd"/>
      <w:r w:rsidR="007039AD">
        <w:t xml:space="preserve"> few</w:t>
      </w:r>
      <w:r w:rsidR="00227EA2">
        <w:t xml:space="preserve"> lines of code </w:t>
      </w:r>
      <w:r w:rsidR="002738D5">
        <w:t>through</w:t>
      </w:r>
      <w:r w:rsidR="000B2B5A">
        <w:t xml:space="preserve"> </w:t>
      </w:r>
      <w:r w:rsidR="00227EA2">
        <w:t xml:space="preserve">these optimized and tested libraries. The U.S. </w:t>
      </w:r>
      <w:r w:rsidR="007E4F00">
        <w:t>Government</w:t>
      </w:r>
      <w:r w:rsidR="00227EA2">
        <w:t xml:space="preserve"> can use the same process to leverage algorithms</w:t>
      </w:r>
      <w:bookmarkStart w:id="1" w:name="_GoBack"/>
      <w:bookmarkEnd w:id="1"/>
      <w:r w:rsidR="00227EA2">
        <w:t xml:space="preserve"> from the social sciences and apply them to computational models. </w:t>
      </w:r>
      <w:r w:rsidR="002738D5">
        <w:t xml:space="preserve">Currently, however, there is no equivalent rich </w:t>
      </w:r>
      <w:r w:rsidR="007E4F00">
        <w:t xml:space="preserve">library </w:t>
      </w:r>
      <w:r w:rsidR="002738D5">
        <w:t>ecosystem, like those for machine learning</w:t>
      </w:r>
      <w:r w:rsidR="00E5760F">
        <w:t>.</w:t>
      </w:r>
    </w:p>
    <w:p w:rsidR="00C059BF" w:rsidRDefault="00E5760F" w:rsidP="00CA2B20">
      <w:r>
        <w:t>T</w:t>
      </w:r>
      <w:r w:rsidR="007E4F00">
        <w:t xml:space="preserve">his paper conducts a proof of concept by employing a game theoretic algorithm against </w:t>
      </w:r>
      <w:r w:rsidR="006728BF">
        <w:t>a foreign policy issue of strategic importance</w:t>
      </w:r>
      <w:proofErr w:type="gramStart"/>
      <w:r w:rsidR="006728BF">
        <w:t>.</w:t>
      </w:r>
      <w:r w:rsidR="007E4F00">
        <w:t xml:space="preserve">  </w:t>
      </w:r>
      <w:proofErr w:type="gramEnd"/>
      <w:r w:rsidR="006728BF">
        <w:t xml:space="preserve">Specifically, what impact </w:t>
      </w:r>
      <w:r>
        <w:t>will</w:t>
      </w:r>
      <w:r w:rsidR="006728BF">
        <w:t xml:space="preserve"> foreign aid have on coalition formation in the ongoing Libyan civil war</w:t>
      </w:r>
      <w:proofErr w:type="gramStart"/>
      <w:r w:rsidR="006728BF">
        <w:t>?</w:t>
      </w:r>
      <w:r w:rsidR="003B6318">
        <w:t xml:space="preserve">  </w:t>
      </w:r>
      <w:proofErr w:type="gramEnd"/>
      <w:r w:rsidR="003F7451">
        <w:t xml:space="preserve">  </w:t>
      </w:r>
    </w:p>
    <w:p w:rsidR="00060813" w:rsidRDefault="00060813" w:rsidP="00060813">
      <w:pPr>
        <w:pStyle w:val="Heading2"/>
      </w:pPr>
      <w:r>
        <w:lastRenderedPageBreak/>
        <w:t>Literature Review</w:t>
      </w:r>
    </w:p>
    <w:p w:rsidR="0084062C" w:rsidRDefault="00060813" w:rsidP="00060813">
      <w:r>
        <w:t>Computational models are widely used to study conflict</w:t>
      </w:r>
      <w:proofErr w:type="gramStart"/>
      <w:r>
        <w:t xml:space="preserve">.  </w:t>
      </w:r>
      <w:proofErr w:type="gramEnd"/>
      <w:r w:rsidR="005263C3">
        <w:t xml:space="preserve">The U.S. military has employed models to study several aspects of war and even uses simulations to aid in determining force generation and acquisition requirements. In addition, many academics, some sponsored by the military or other parts of the U.S. Government, have used computational models to understand </w:t>
      </w:r>
      <w:r w:rsidR="009D4845">
        <w:t xml:space="preserve">civil </w:t>
      </w:r>
      <w:r w:rsidR="005263C3">
        <w:t xml:space="preserve">conflict. </w:t>
      </w:r>
      <w:r w:rsidR="00E70DAC">
        <w:t>Briefly, the</w:t>
      </w:r>
      <w:r w:rsidR="004D0D0F">
        <w:t xml:space="preserve">re </w:t>
      </w:r>
      <w:proofErr w:type="gramStart"/>
      <w:r w:rsidR="004D0D0F">
        <w:t xml:space="preserve">a four major types of </w:t>
      </w:r>
      <w:r w:rsidR="00206C5F">
        <w:t xml:space="preserve">computational </w:t>
      </w:r>
      <w:r w:rsidR="004D0D0F">
        <w:t>models</w:t>
      </w:r>
      <w:proofErr w:type="gramEnd"/>
      <w:r w:rsidR="00E5760F">
        <w:t>, but only two, systems dynamics and agent based models (ABMs) are regularly used for conflict. F</w:t>
      </w:r>
      <w:r w:rsidR="004D0D0F">
        <w:t xml:space="preserve">irst and most predominantly there is system dynamics models which look at systems </w:t>
      </w:r>
      <w:r w:rsidR="00593DDC">
        <w:t>as an indivisible who</w:t>
      </w:r>
      <w:r w:rsidR="004D0D0F">
        <w:t>l</w:t>
      </w:r>
      <w:r w:rsidR="00593DDC">
        <w:t>e</w:t>
      </w:r>
      <w:r w:rsidR="004D0D0F">
        <w:t xml:space="preserve"> </w:t>
      </w:r>
      <w:r w:rsidR="004D0D0F">
        <w:fldChar w:fldCharType="begin" w:fldLock="1"/>
      </w:r>
      <w:r w:rsidR="004D0D0F">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4D0D0F">
        <w:fldChar w:fldCharType="separate"/>
      </w:r>
      <w:r w:rsidR="004D0D0F" w:rsidRPr="004D0D0F">
        <w:rPr>
          <w:noProof/>
        </w:rPr>
        <w:t>(Gilbert and Troitzsch 2005)</w:t>
      </w:r>
      <w:r w:rsidR="004D0D0F">
        <w:fldChar w:fldCharType="end"/>
      </w:r>
      <w:r w:rsidR="00593DDC">
        <w:t xml:space="preserve">. </w:t>
      </w:r>
      <w:r w:rsidR="009D4845">
        <w:t>The</w:t>
      </w:r>
      <w:r w:rsidR="00640C15">
        <w:t xml:space="preserve">re is </w:t>
      </w:r>
      <w:r w:rsidR="00E70DAC">
        <w:t xml:space="preserve">a large number of </w:t>
      </w:r>
      <w:r w:rsidR="009D4845">
        <w:t>system dynamics models</w:t>
      </w:r>
      <w:r w:rsidR="00E70DAC">
        <w:t xml:space="preserve"> which extend back to as early as the </w:t>
      </w:r>
      <w:proofErr w:type="spellStart"/>
      <w:r w:rsidR="00E70DAC">
        <w:t>1970s</w:t>
      </w:r>
      <w:proofErr w:type="spellEnd"/>
      <w:r w:rsidR="00E70DAC">
        <w:t xml:space="preserve"> </w:t>
      </w:r>
      <w:r w:rsidR="00E70DAC">
        <w:fldChar w:fldCharType="begin" w:fldLock="1"/>
      </w:r>
      <w:r w:rsidR="00E70DAC">
        <w:instrText>ADDIN CSL_CITATION { "citationItems" : [ { "id" : "ITEM-1", "itemData" : { "DOI" : "10.1016/0016-3287(74)90018-4", "ISSN" : "00163287", "abstract" : "This article is the outcome of a continuing programme of research involving systems engineers and political scientists. The ultimate aim is to explore the relevance of some of the methodologies of systems engineering to problems in the social sciences, especially the dynamics of domestic and international conflict. An initial exercise in modelling domestic conflict in terms of state equations (system dynamics) is described, although the study reflects the authors' interest in several approaches by the broadly based survey of past work and proposed diversification of their research. \u00a9 1974.", "author" : [ { "dropping-particle" : "", "family" : "Noton", "given" : "M.", "non-dropping-particle" : "", "parse-names" : false, "suffix" : "" }, { "dropping-particle" : "", "family" : "Mitchell", "given" : "C. R.", "non-dropping-particle" : "", "parse-names" : false, "suffix" : "" }, { "dropping-particle" : "", "family" : "Janes", "given" : "F. R.", "non-dropping-particle" : "", "parse-names" : false, "suffix" : "" } ], "container-title" : "Futures", "id" : "ITEM-1", "issue" : "2", "issued" : { "date-parts" : [ [ "1974" ] ] }, "page" : "114-132", "title" : "The systems analysis of conflict", "type" : "article-journal", "volume" : "6" }, "uris" : [ "http://www.mendeley.com/documents/?uuid=ba9506bf-26f5-4585-9530-767b8d7a7fff" ] } ], "mendeley" : { "formattedCitation" : "(Noton, Mitchell, and Janes 1974)", "plainTextFormattedCitation" : "(Noton, Mitchell, and Janes 1974)", "previouslyFormattedCitation" : "(Noton, Mitchell, and Janes 1974)" }, "properties" : { "noteIndex" : 2 }, "schema" : "https://github.com/citation-style-language/schema/raw/master/csl-citation.json" }</w:instrText>
      </w:r>
      <w:r w:rsidR="00E70DAC">
        <w:fldChar w:fldCharType="separate"/>
      </w:r>
      <w:r w:rsidR="00E70DAC" w:rsidRPr="00E70DAC">
        <w:rPr>
          <w:noProof/>
        </w:rPr>
        <w:t>(Noton, Mitchell, and Janes 1974)</w:t>
      </w:r>
      <w:r w:rsidR="00E70DAC">
        <w:fldChar w:fldCharType="end"/>
      </w:r>
      <w:r w:rsidR="00E70DAC">
        <w:t xml:space="preserve"> </w:t>
      </w:r>
      <w:r w:rsidR="00593DDC">
        <w:t>and even the “spaghetti diagram” which was portrayed in popular media as the U.S. strategy in Afghanistan was a systems dynamics model using Stella.</w:t>
      </w:r>
      <w:r w:rsidR="0084062C">
        <w:t xml:space="preserve"> </w:t>
      </w:r>
      <w:r w:rsidR="00E5760F">
        <w:t>ABMs</w:t>
      </w:r>
      <w:r w:rsidR="002C411C">
        <w:t xml:space="preserve"> </w:t>
      </w:r>
      <w:r w:rsidR="0021691D">
        <w:t xml:space="preserve">(also known as multi-agent systems, individual based models or entity based models) encode processes in agents. Agents then use these process </w:t>
      </w:r>
      <w:r w:rsidR="002C411C">
        <w:t>to</w:t>
      </w:r>
      <w:r w:rsidR="0021691D">
        <w:t xml:space="preserve"> make decisions based on their specific situation in their environment </w:t>
      </w:r>
      <w:r w:rsidR="0021691D">
        <w:fldChar w:fldCharType="begin" w:fldLock="1"/>
      </w:r>
      <w:r w:rsidR="0021691D">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21691D">
        <w:fldChar w:fldCharType="separate"/>
      </w:r>
      <w:r w:rsidR="0021691D" w:rsidRPr="0021691D">
        <w:rPr>
          <w:noProof/>
        </w:rPr>
        <w:t>(Gilbert and Troitzsch 2005)</w:t>
      </w:r>
      <w:r w:rsidR="0021691D">
        <w:fldChar w:fldCharType="end"/>
      </w:r>
      <w:r w:rsidR="0021691D">
        <w:t xml:space="preserve">. </w:t>
      </w:r>
      <w:r w:rsidR="006728BF">
        <w:t xml:space="preserve">ABMs are widely used for conflict modelling with </w:t>
      </w:r>
      <w:r w:rsidR="002D5736">
        <w:t>J</w:t>
      </w:r>
      <w:r w:rsidR="003B79D0">
        <w:t>os</w:t>
      </w:r>
      <w:r w:rsidR="002D5736">
        <w:t>h</w:t>
      </w:r>
      <w:r w:rsidR="003B79D0">
        <w:t>ua Epstein’s</w:t>
      </w:r>
      <w:r w:rsidR="002D5736">
        <w:t xml:space="preserve"> “Modelling Civil Violence”</w:t>
      </w:r>
      <w:r w:rsidR="003B79D0">
        <w:t xml:space="preserve"> </w:t>
      </w:r>
      <w:r w:rsidR="006728BF">
        <w:t>as</w:t>
      </w:r>
      <w:r w:rsidR="002C411C">
        <w:t xml:space="preserve"> a notable example of a civil conflict ABM </w:t>
      </w:r>
      <w:r w:rsidR="002D5736">
        <w:fldChar w:fldCharType="begin" w:fldLock="1"/>
      </w:r>
      <w:r w:rsidR="002D5736">
        <w:instrText>ADDIN CSL_CITATION { "citationItems" : [ { "id" : "ITEM-1", "itemData" : { "DOI" : "10.1073/pnas.092080199", "ISBN" : "0027-8424", "ISSN" : "0027-8424", "PMID" : "11997450", "abstract" : "This article presents an agent-based computational model of civil violence. Two variants of the civil violence model are presented. In the first a central authority seeks to suppress decentralized rebellion. In the second a central authority seeks to suppress communal violence between two warring ethnic groups.", "author" : [ { "dropping-particle" : "", "family" : "Epstein", "given" : "J. M.", "non-dropping-particle" : "", "parse-names" : false, "suffix" : "" } ], "container-title" : "Proceedings of the National Academy of Sciences", "id" : "ITEM-1", "issue" : "Supplement 3", "issued" : { "date-parts" : [ [ "2002" ] ] }, "page" : "7243-7250", "title" : "Modeling civil violence: An agent-based computational approach", "type" : "article-journal", "volume" : "99" }, "uris" : [ "http://www.mendeley.com/documents/?uuid=22868c92-9327-4e60-b3b8-e5c57720cc65" ] } ], "mendeley" : { "formattedCitation" : "(Epstein 2002)", "manualFormatting" : "(2002)", "plainTextFormattedCitation" : "(Epstein 2002)", "previouslyFormattedCitation" : "(Epstein 2002)" }, "properties" : { "noteIndex" : 2 }, "schema" : "https://github.com/citation-style-language/schema/raw/master/csl-citation.json" }</w:instrText>
      </w:r>
      <w:r w:rsidR="002D5736">
        <w:fldChar w:fldCharType="separate"/>
      </w:r>
      <w:r w:rsidR="002D5736" w:rsidRPr="002D5736">
        <w:rPr>
          <w:noProof/>
        </w:rPr>
        <w:t>(2002)</w:t>
      </w:r>
      <w:r w:rsidR="002D5736">
        <w:fldChar w:fldCharType="end"/>
      </w:r>
      <w:r w:rsidR="002D5736">
        <w:t xml:space="preserve">. </w:t>
      </w:r>
    </w:p>
    <w:p w:rsidR="008944A0" w:rsidRDefault="002C411C" w:rsidP="00060813">
      <w:r>
        <w:t>Typically</w:t>
      </w:r>
      <w:r w:rsidR="002D5736">
        <w:t xml:space="preserve">, models do not try to describe the </w:t>
      </w:r>
      <w:r w:rsidR="00E5760F">
        <w:t xml:space="preserve">whole </w:t>
      </w:r>
      <w:r w:rsidR="002D5736">
        <w:t>conflict, instea</w:t>
      </w:r>
      <w:r w:rsidR="001A0F27">
        <w:t>d they look a</w:t>
      </w:r>
      <w:r w:rsidR="00BF3A26">
        <w:t>t</w:t>
      </w:r>
      <w:r w:rsidR="001A0F27">
        <w:t xml:space="preserve"> specific aspects, such as</w:t>
      </w:r>
      <w:r w:rsidR="00B739C3">
        <w:t xml:space="preserve"> </w:t>
      </w:r>
      <w:r w:rsidR="00C162CC">
        <w:t>the impact of</w:t>
      </w:r>
      <w:r w:rsidR="00B739C3">
        <w:t xml:space="preserve"> </w:t>
      </w:r>
      <w:r w:rsidR="00C162CC">
        <w:t xml:space="preserve">discriminate or indiscriminate targeting </w:t>
      </w:r>
      <w:r w:rsidR="00B739C3">
        <w:t xml:space="preserve"> </w:t>
      </w:r>
      <w:r w:rsidR="00C162CC">
        <w:fldChar w:fldCharType="begin" w:fldLock="1"/>
      </w:r>
      <w:r w:rsidR="00C162CC">
        <w:instrText>ADDIN CSL_CITATION { "citationItems" : [ { "id" : "ITEM-1", "itemData" : { "ISSN" : "14607425", "abstract" : "This paper models the early dynamics of insurgency using an agent-based computer simulation of civilians, insurgents, and soldiers. In the simulation, insurgents choose to attack government forces, which then strike back. Such government counterattacks may result in the capture or killing of insurgents, may make nearby civilians afraid to become insurgents, but may also increase the anger of surrounding civilians if there is significant collateral damage. If civilians become angry enough, they become new insurgents. I simulate the dynamics of these interactions, focusing on the effectiveness of government forces at capturing insurgents vs. their accuracy in avoiding collateral damage. The simulations suggest that accuracy (avoidance of collateral damage) is more important for the long-term defeat of insurgency than is effectiveness at capturing insurgents in any given counterattack. There also may be a critical 'tipping point' for accuracy below which the length of insurgencies increases dramatically. The dynamics of how insurgencies grow or decline in response to various combinations of government accuracy and effectiveness illustrate the tradeoffs faced by governments in dealing with the early stages of an insurgency.", "author" : [ { "dropping-particle" : "", "family" : "Bennett", "given" : "D. Scott", "non-dropping-particle" : "", "parse-names" : false, "suffix" : "" } ], "container-title" : "Jasss", "id" : "ITEM-1", "issue" : "4", "issued" : { "date-parts" : [ [ "2008" ] ] }, "title" : "Governments, Civilians, and the Evolution of Insurgency: Modeling the Early Dynamics of Insurgencies", "type" : "article-journal", "volume" : "11" }, "uris" : [ "http://www.mendeley.com/documents/?uuid=4ee03b6e-5f36-4919-8be0-62894428948a" ] }, { "id" : "ITEM-2", "itemData" : { "DOI" : "10.1016/j.orl.2013.08.004", "ISSN" : "01676377", "abstract" : "We generalize Deitchman's guerrilla warfare model to account for trade-off between intelligence ('bits') and firepower ('shots'). Intelligent targeting leads to aimed fire; absence of intelligence leads to unaimed fire, dependent on targets' density. We propose a new Lanchester-type model that mixes aimed and unaimed fire, the balance between these being determined by quality of information. We derive the model's conserved quantity, and use it to analyze the trade-off between investments in intelligence and in firepower - for example, in counterinsurgency operations. \u00a9 2013 Elsevier Ltd. All rights reserved.", "author" : [ { "dropping-particle" : "", "family" : "Kress", "given" : "Moshe", "non-dropping-particle" : "", "parse-names" : false, "suffix" : "" }, { "dropping-particle" : "", "family" : "MacKay", "given" : "Niall J.", "non-dropping-particle" : "", "parse-names" : false, "suffix" : "" } ], "container-title" : "Operations Research Letters", "id" : "ITEM-2", "issue" : "1", "issued" : { "date-parts" : [ [ "2014" ] ] }, "page" : "102-108", "publisher" : "Elsevier B.V.", "title" : "Bits or shots in combat? the generalized Deitchman model of guerrilla warfare", "type" : "article-journal", "volume" : "42" }, "uris" : [ "http://www.mendeley.com/documents/?uuid=1beb4535-76e5-408a-8372-338b02cfbabb" ] } ], "mendeley" : { "formattedCitation" : "(Bennett 2008; Kress and MacKay 2014)", "plainTextFormattedCitation" : "(Bennett 2008; Kress and MacKay 2014)", "previouslyFormattedCitation" : "(Bennett 2008; Kress and MacKay 2014)" }, "properties" : { "noteIndex" : 2 }, "schema" : "https://github.com/citation-style-language/schema/raw/master/csl-citation.json" }</w:instrText>
      </w:r>
      <w:r w:rsidR="00C162CC">
        <w:fldChar w:fldCharType="separate"/>
      </w:r>
      <w:r w:rsidR="00C162CC" w:rsidRPr="00C162CC">
        <w:rPr>
          <w:noProof/>
        </w:rPr>
        <w:t>(Bennett 2008; Kress and MacKay 2014)</w:t>
      </w:r>
      <w:r w:rsidR="00C162CC">
        <w:fldChar w:fldCharType="end"/>
      </w:r>
      <w:r w:rsidR="00C162CC">
        <w:t>,</w:t>
      </w:r>
      <w:r w:rsidR="001A0F27">
        <w:t xml:space="preserve"> </w:t>
      </w:r>
      <w:r w:rsidR="00C162CC">
        <w:t xml:space="preserve">the impact of climate variability and conflict onset </w:t>
      </w:r>
      <w:r w:rsidR="00C162CC">
        <w:fldChar w:fldCharType="begin" w:fldLock="1"/>
      </w:r>
      <w:r w:rsidR="00C162CC">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2 }, "schema" : "https://github.com/citation-style-language/schema/raw/master/csl-citation.json" }</w:instrText>
      </w:r>
      <w:r w:rsidR="00C162CC">
        <w:fldChar w:fldCharType="separate"/>
      </w:r>
      <w:r w:rsidR="00C162CC" w:rsidRPr="00C162CC">
        <w:rPr>
          <w:noProof/>
        </w:rPr>
        <w:t>(Zinig and Zagorowski 2017)</w:t>
      </w:r>
      <w:r w:rsidR="00C162CC">
        <w:fldChar w:fldCharType="end"/>
      </w:r>
      <w:r w:rsidR="00C162CC">
        <w:t xml:space="preserve"> or the impact of aid vs. force </w:t>
      </w:r>
      <w:r w:rsidR="00C162CC">
        <w:fldChar w:fldCharType="begin" w:fldLock="1"/>
      </w:r>
      <w:r w:rsidR="009D4845">
        <w:instrText>ADDIN CSL_CITATION { "citationItems" : [ { "id" : "ITEM-1", "itemData" : { "DOI" : "10.1016/j.cor.2006.09.017", "ISSN" : "03050548", "abstract" : "This paper deals dynamically with the question of how recruitment to terror organizations is influenced by counter-terror operations. This is done within an optimal control model, where the key state is the (relative) number of terrorists and the key controls are two types of counter-terror tactics, one (\"water\") that does not and one (\"fire\") that does provoke recruitment of new terrorists. The model is nonlinear and does not admit analytical solutions, but an efficient numerical implementation of Pontryagin's minimum principle allows for solution with base case parameters and considerable sensitivity analysis. Generally, this model yields two different steady states, one where the terror organization is nearly eradicated and one with a high number of terrorists. Whereas water strategies are used at almost any time, it can be optimal not to use fire strategies if the number of terrorists is below a certain threshold. ?? 2006 Elsevier Ltd. All rights reserved.", "author" : [ { "dropping-particle" : "", "family" : "Caulkins", "given" : "Jonathan P.", "non-dropping-particle" : "", "parse-names" : false, "suffix" : "" }, { "dropping-particle" : "", "family" : "Grass", "given" : "Dieter", "non-dropping-particle" : "", "parse-names" : false, "suffix" : "" }, { "dropping-particle" : "", "family" : "Feichtinger", "given" : "Gustav", "non-dropping-particle" : "", "parse-names" : false, "suffix" : "" }, { "dropping-particle" : "", "family" : "Tragler", "given" : "Gernot", "non-dropping-particle" : "", "parse-names" : false, "suffix" : "" } ], "container-title" : "Computers and Operations Research", "id" : "ITEM-1", "issue" : "6", "issued" : { "date-parts" : [ [ "2008" ] ] }, "page" : "1874-1885", "title" : "Optimizing counter-terror operations: Should one fight fire with \"fire\" or \"water\"?", "type" : "article-journal", "volume" : "35" }, "uris" : [ "http://www.mendeley.com/documents/?uuid=ba3d6a01-f92a-4d18-9408-c419e5dd0c1d" ] }, { "id" : "ITEM-2", "itemData" : { "DOI" : "10.1080/13698240701699482", "ISSN" : "1369-8249", "abstract" : "From as early as the Roman Empire to the present day, governments have grappled with how best to respond to political violence from organized insurgent groups. In response to insurgent groups, some governments have emphasized a direct military response or what is often called \u2018attrition\u2019. Other states have stressed a softer, political strategy or what is often called the \u2018hearts and minds\u2019 approach. Either approach places the population at the center of a struggle between the government and violent dissidents. Despite numerous works emphasizing either \u2018attrition\u2019 or \u2018hearts and minds\u2019, few theoretical studies have attempted to compare their relative success. Using an agent-based computational model, we examine which approach is more successful at quelling insurgencies and find that a hearts and minds approach is superior to an attrition strategy. We illustrate the model with insights from the Iraqi insurgency and, more generally, the model has implications for other insurgencies, such as in Chechnya.", "author" : [ { "dropping-particle" : "", "family" : "Findley", "given" : "Michael G.", "non-dropping-particle" : "", "parse-names" : false, "suffix" : "" }, { "dropping-particle" : "", "family" : "Young", "given" : "Joseph K.", "non-dropping-particle" : "", "parse-names" : false, "suffix" : "" } ], "container-title" : "Civil Wars", "id" : "ITEM-2", "issue" : "4", "issued" : { "date-parts" : [ [ "2007" ] ] }, "page" : "378-401", "title" : "Fighting Fire with Fire? How (Not) to Neutralize an Insurgency", "type" : "article-journal", "volume" : "9" }, "uris" : [ "http://www.mendeley.com/documents/?uuid=45f0bff7-70ca-4a51-a3f9-1d4e53f21107" ] }, { "id" : "ITEM-3", "itemData" : { "abstract" : "Responses to insurgency include both a large-scale societal reform directed at improving the lives of civilians and a direct military response with no additional programs to improve civilian welfare. In this paper, we ask, what is the optimal combination of aid and military response from the viewpoint of the state? Using a computational model, we evaluate what mix of these two strategies helps the government defeat an insurgency more quickly. Our model yields that aid may boost a military strategy that avoids civilian casualties, but it may not compensate for a military strategy that targets civilians indiscriminately.", "author" : [ { "dropping-particle" : "", "family" : "Pechenkina", "given" : "Anna O", "non-dropping-particle" : "", "parse-names" : false, "suffix" : "" }, { "dropping-particle" : "", "family" : "Bennett", "given" : "D Scott", "non-dropping-particle" : "", "parse-names" : false, "suffix" : "" } ], "container-title" : "The Journal of Artifical Societies and Social Simulations", "id" : "ITEM-3", "issue" : "4", "issued" : { "date-parts" : [ [ "2017" ] ] }, "title" : "Violent and Non-Violent Strategies of Counterinsurgency Two Broad Approaches to Counterinsurgency", "type" : "article-journal", "volume" : "20" }, "uris" : [ "http://www.mendeley.com/documents/?uuid=9510f546-8af9-45d9-91d5-8d3fe793fdef" ] } ], "mendeley" : { "formattedCitation" : "(Caulkins et al. 2008; Findley and Young 2007; Pechenkina and Bennett 2017)", "plainTextFormattedCitation" : "(Caulkins et al. 2008; Findley and Young 2007; Pechenkina and Bennett 2017)", "previouslyFormattedCitation" : "(Caulkins et al. 2008; Findley and Young 2007; Pechenkina and Bennett 2017)" }, "properties" : { "noteIndex" : 2 }, "schema" : "https://github.com/citation-style-language/schema/raw/master/csl-citation.json" }</w:instrText>
      </w:r>
      <w:r w:rsidR="00C162CC">
        <w:fldChar w:fldCharType="separate"/>
      </w:r>
      <w:r w:rsidR="009D4845" w:rsidRPr="009D4845">
        <w:rPr>
          <w:noProof/>
        </w:rPr>
        <w:t>(Caulkins et al. 2008; Findley and Young 2007; Pechenkina and Bennett 2017)</w:t>
      </w:r>
      <w:r w:rsidR="00C162CC">
        <w:fldChar w:fldCharType="end"/>
      </w:r>
      <w:r w:rsidR="009D4845">
        <w:t xml:space="preserve">. </w:t>
      </w:r>
      <w:r>
        <w:t xml:space="preserve">The process of clearly defining a research question and focusing on specific elements related to the question is an intrinsic step in the modeling </w:t>
      </w:r>
      <w:r w:rsidR="006728BF">
        <w:t xml:space="preserve">(or research) </w:t>
      </w:r>
      <w:r>
        <w:t>process. This is not only to narrow down the complex phenomenon of civil conflict to a manageable scope</w:t>
      </w:r>
      <w:r w:rsidR="008944A0">
        <w:t>,</w:t>
      </w:r>
      <w:r>
        <w:t xml:space="preserve"> it is also </w:t>
      </w:r>
      <w:r w:rsidR="008944A0">
        <w:t>to</w:t>
      </w:r>
      <w:r>
        <w:t xml:space="preserve"> ensure it is possible to validate the model against </w:t>
      </w:r>
      <w:r w:rsidR="008944A0">
        <w:t xml:space="preserve">the </w:t>
      </w:r>
      <w:r>
        <w:t>real world.</w:t>
      </w:r>
      <w:r w:rsidR="008944A0">
        <w:t xml:space="preserve"> This necessity to narrow is an essential reason why modelling needs to be accessible to more than just experts. Analysts and decisions makers must able to apply models to the specifics of their complex phenomenon</w:t>
      </w:r>
      <w:r w:rsidR="00B5566F">
        <w:t xml:space="preserve"> as there is not enough experts to provide specific models for each situation’s unique </w:t>
      </w:r>
      <w:r w:rsidR="006728BF">
        <w:t>subtleties</w:t>
      </w:r>
      <w:r w:rsidR="008944A0">
        <w:t xml:space="preserve">. Rich libraries of algorithms </w:t>
      </w:r>
      <w:r w:rsidR="00B5566F">
        <w:t xml:space="preserve">can </w:t>
      </w:r>
      <w:r w:rsidR="008944A0">
        <w:t xml:space="preserve">enable this </w:t>
      </w:r>
      <w:r w:rsidR="00B5566F">
        <w:t xml:space="preserve">customization </w:t>
      </w:r>
      <w:r w:rsidR="006728BF">
        <w:t xml:space="preserve">for analysts and decision makers </w:t>
      </w:r>
      <w:r w:rsidR="008944A0">
        <w:t xml:space="preserve">by providing optimized code and a technological bridge to rigorous theories. </w:t>
      </w:r>
    </w:p>
    <w:bookmarkEnd w:id="0"/>
    <w:p w:rsidR="006728BF" w:rsidRDefault="006728BF" w:rsidP="006728BF">
      <w:pPr>
        <w:pStyle w:val="Heading2"/>
      </w:pPr>
      <w:r>
        <w:t>Overview</w:t>
      </w:r>
    </w:p>
    <w:p w:rsidR="00F744CD" w:rsidRDefault="007E4F00" w:rsidP="007E4F00">
      <w:r>
        <w:t xml:space="preserve">In this paper, I argue for the creation of social science modeling libraries by developing a model </w:t>
      </w:r>
      <w:r w:rsidR="001D34D5">
        <w:t xml:space="preserve">of how foreign aid may impact coalition formation in the Libyan civil war </w:t>
      </w:r>
      <w:r>
        <w:t xml:space="preserve">as a proof of concept. </w:t>
      </w:r>
      <w:r w:rsidR="00F744CD">
        <w:t xml:space="preserve">As an underlying algorithm, </w:t>
      </w:r>
      <w:r>
        <w:t xml:space="preserve">I use the </w:t>
      </w:r>
      <w:r w:rsidR="00F744CD">
        <w:t>Sh</w:t>
      </w:r>
      <w:r>
        <w:t xml:space="preserve">apley value from coalition game theory </w:t>
      </w:r>
      <w:r>
        <w:fldChar w:fldCharType="begin" w:fldLock="1"/>
      </w:r>
      <w:r w:rsidR="00F744CD">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1 }, "schema" : "https://github.com/citation-style-language/schema/raw/master/csl-citation.json" }</w:instrText>
      </w:r>
      <w:r>
        <w:fldChar w:fldCharType="separate"/>
      </w:r>
      <w:r w:rsidR="00F744CD" w:rsidRPr="00F744CD">
        <w:rPr>
          <w:noProof/>
        </w:rPr>
        <w:t>(Yoav and Leyton-Brown 2009)</w:t>
      </w:r>
      <w:r>
        <w:fldChar w:fldCharType="end"/>
      </w:r>
      <w:r>
        <w:t xml:space="preserve">. </w:t>
      </w:r>
      <w:r w:rsidR="00F744CD">
        <w:t xml:space="preserve">The Shapley value is one of many possible choices and emphasizes the point </w:t>
      </w:r>
      <w:r w:rsidR="00666FCD">
        <w:t>that</w:t>
      </w:r>
      <w:r w:rsidR="00F744CD">
        <w:t xml:space="preserve"> libraries </w:t>
      </w:r>
      <w:r w:rsidR="00666FCD">
        <w:t xml:space="preserve">full </w:t>
      </w:r>
      <w:r w:rsidR="00F744CD">
        <w:t xml:space="preserve">of different algorithms would allow researchers and analysts greater ability to employ different theories in seeking to understand civil conflict. I chose </w:t>
      </w:r>
      <w:r w:rsidR="00F07030">
        <w:t>the Shapley value</w:t>
      </w:r>
      <w:r w:rsidR="00F744CD">
        <w:t xml:space="preserve"> simply because it has a respected history, is well known </w:t>
      </w:r>
      <w:r w:rsidR="00F744CD">
        <w:fldChar w:fldCharType="begin" w:fldLock="1"/>
      </w:r>
      <w:r w:rsidR="00F744CD">
        <w:instrText>ADDIN CSL_CITATION { "citationItems" : [ { "id" : "ITEM-1", "itemData" : { "DOI" : "10.1017/CBO9780511528446", "ISBN" : "1483295052", "abstract" : "Composed in honor of the 65th birthday of Lloyd Shapley, this volume makes accessible the large body of work that has grown out of Shapley's seminal 1953 paper. Each of the twenty essays concerns some aspect of the Shapley value.", "author" : [ { "dropping-particle" : "", "family" : "Roth", "given" : "Alvin E.", "non-dropping-particle" : "", "parse-names" : false, "suffix" : "" } ], "container-title" : "Game Theory and Applications", "id" : "ITEM-1", "issued" : { "date-parts" : [ [ "1988" ] ] }, "number-of-pages" : "158", "title" : "The Shapley Value", "type" : "book" }, "uris" : [ "http://www.mendeley.com/documents/?uuid=878635f8-2bc5-4a76-ae00-a0104d790640" ] } ], "mendeley" : { "formattedCitation" : "(Roth 1988)", "plainTextFormattedCitation" : "(Roth 1988)", "previouslyFormattedCitation" : "(Roth 1988)" }, "properties" : { "noteIndex" : 2 }, "schema" : "https://github.com/citation-style-language/schema/raw/master/csl-citation.json" }</w:instrText>
      </w:r>
      <w:r w:rsidR="00F744CD">
        <w:fldChar w:fldCharType="separate"/>
      </w:r>
      <w:r w:rsidR="00F744CD" w:rsidRPr="00F744CD">
        <w:rPr>
          <w:noProof/>
        </w:rPr>
        <w:t>(Roth 1988)</w:t>
      </w:r>
      <w:r w:rsidR="00F744CD">
        <w:fldChar w:fldCharType="end"/>
      </w:r>
      <w:r w:rsidR="00F744CD">
        <w:t xml:space="preserve"> and is an appropriate tool for understanding how different groups may for</w:t>
      </w:r>
      <w:r w:rsidR="00F07030">
        <w:t>m</w:t>
      </w:r>
      <w:r w:rsidR="00F744CD">
        <w:t xml:space="preserve"> alliances in an ongoing conflict.</w:t>
      </w:r>
    </w:p>
    <w:p w:rsidR="00666FCD" w:rsidRDefault="00F744CD" w:rsidP="007E4F00">
      <w:r>
        <w:t xml:space="preserve">For </w:t>
      </w:r>
      <w:r w:rsidR="0023301C">
        <w:t>modelling</w:t>
      </w:r>
      <w:r>
        <w:t xml:space="preserve">, I </w:t>
      </w:r>
      <w:r w:rsidR="0023301C">
        <w:t>used</w:t>
      </w:r>
      <w:r>
        <w:t xml:space="preserve"> </w:t>
      </w:r>
      <w:r w:rsidR="0023301C">
        <w:t>Python 3.6 with an ABM construct</w:t>
      </w:r>
      <w:r>
        <w:t>. I chose an ABM approach for two critical reasons. First, ABMs</w:t>
      </w:r>
      <w:r w:rsidR="00666FCD">
        <w:t xml:space="preserve"> </w:t>
      </w:r>
      <w:proofErr w:type="gramStart"/>
      <w:r w:rsidR="00666FCD">
        <w:t>are</w:t>
      </w:r>
      <w:r>
        <w:t xml:space="preserve"> able to</w:t>
      </w:r>
      <w:proofErr w:type="gramEnd"/>
      <w:r>
        <w:t xml:space="preserve"> look </w:t>
      </w:r>
      <w:r w:rsidR="00666FCD">
        <w:t xml:space="preserve">at </w:t>
      </w:r>
      <w:r>
        <w:t xml:space="preserve">individual or in this case </w:t>
      </w:r>
      <w:r w:rsidR="00666FCD">
        <w:t xml:space="preserve">the </w:t>
      </w:r>
      <w:r>
        <w:t xml:space="preserve">group </w:t>
      </w:r>
      <w:r w:rsidR="00F67C79">
        <w:t>level</w:t>
      </w:r>
      <w:r>
        <w:t>. This allows the analysts and decision maker to see how different groups may react to different policy choices. This provides greater fidelity to the specifics of policy implementation</w:t>
      </w:r>
      <w:r w:rsidR="00F67C79">
        <w:t>. Second, ABMs are more easily scalable. Agents can be individuals in a village or, as in th</w:t>
      </w:r>
      <w:r w:rsidR="00666FCD">
        <w:t>is</w:t>
      </w:r>
      <w:r w:rsidR="00F67C79">
        <w:t xml:space="preserve"> model, groups within a nation. It is also possible to link ABMs together to have hierarchies with</w:t>
      </w:r>
      <w:r w:rsidR="00666FCD">
        <w:t>in</w:t>
      </w:r>
      <w:r w:rsidR="00F67C79">
        <w:t xml:space="preserve"> </w:t>
      </w:r>
      <w:proofErr w:type="gramStart"/>
      <w:r w:rsidR="00F67C79">
        <w:t>a model where individual dynamics</w:t>
      </w:r>
      <w:proofErr w:type="gramEnd"/>
      <w:r w:rsidR="00F67C79">
        <w:t xml:space="preserve"> </w:t>
      </w:r>
      <w:r w:rsidR="00666FCD">
        <w:t xml:space="preserve">can </w:t>
      </w:r>
      <w:r w:rsidR="00F67C79">
        <w:t xml:space="preserve">feed national group behavior, which in turn produce a national emergent behavior. ABMs provide a more flexible framework which </w:t>
      </w:r>
      <w:r w:rsidR="00666FCD">
        <w:t>is necessary when dealing with large diverse organizations such as those found in the U.S. Government.</w:t>
      </w:r>
    </w:p>
    <w:p w:rsidR="00666FCD" w:rsidRDefault="00666FCD" w:rsidP="007E4F00">
      <w:r>
        <w:t xml:space="preserve">It is important to note, although I use an ABM construct for my model, the Shapley value and coalition game theory in general </w:t>
      </w:r>
      <w:r w:rsidR="001D34D5">
        <w:t>does not requires</w:t>
      </w:r>
      <w:r>
        <w:t xml:space="preserve"> ABM</w:t>
      </w:r>
      <w:r w:rsidR="001D34D5">
        <w:t>s</w:t>
      </w:r>
      <w:r>
        <w:t xml:space="preserve">. Coalition game theory is concerned with the combinatorics of coalition formation </w:t>
      </w:r>
      <w:r w:rsidR="001D34D5">
        <w:fldChar w:fldCharType="begin" w:fldLock="1"/>
      </w:r>
      <w:r w:rsidR="001D34D5">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3 }, "schema" : "https://github.com/citation-style-language/schema/raw/master/csl-citation.json" }</w:instrText>
      </w:r>
      <w:r w:rsidR="001D34D5">
        <w:fldChar w:fldCharType="separate"/>
      </w:r>
      <w:r w:rsidR="001D34D5" w:rsidRPr="001D34D5">
        <w:rPr>
          <w:noProof/>
        </w:rPr>
        <w:t>(Yoav and Leyton-Brown 2009)</w:t>
      </w:r>
      <w:r w:rsidR="001D34D5">
        <w:fldChar w:fldCharType="end"/>
      </w:r>
      <w:r w:rsidR="001D34D5">
        <w:t xml:space="preserve"> </w:t>
      </w:r>
      <w:r>
        <w:t xml:space="preserve">and with many groups is much more easily employed </w:t>
      </w:r>
      <w:r w:rsidR="001D34D5">
        <w:t xml:space="preserve">computationally </w:t>
      </w:r>
      <w:r>
        <w:t xml:space="preserve">to explore these possible combinations. </w:t>
      </w:r>
    </w:p>
    <w:p w:rsidR="00227EA2" w:rsidRDefault="00F13BA0" w:rsidP="00CA2B20">
      <w:r>
        <w:lastRenderedPageBreak/>
        <w:t>Th</w:t>
      </w:r>
      <w:r w:rsidR="007E4F00">
        <w:t xml:space="preserve">is </w:t>
      </w:r>
      <w:r>
        <w:t>paper proceeds in f</w:t>
      </w:r>
      <w:r w:rsidR="007E4F00">
        <w:t xml:space="preserve">our parts. First, a </w:t>
      </w:r>
      <w:r w:rsidR="00F07151">
        <w:t xml:space="preserve">background on the ongoing conflict in Libya and </w:t>
      </w:r>
      <w:r w:rsidR="007E4F00">
        <w:t xml:space="preserve">qualitative assessment of </w:t>
      </w:r>
      <w:r w:rsidR="00F07151">
        <w:t xml:space="preserve">groups within </w:t>
      </w:r>
      <w:r w:rsidR="007E4F00">
        <w:t xml:space="preserve">Libya. Second, the employment of </w:t>
      </w:r>
      <w:r>
        <w:t xml:space="preserve">a specific instantiation of the Shapley value the </w:t>
      </w:r>
      <w:r w:rsidR="007E4F00">
        <w:t>Bilateral Shapley Value</w:t>
      </w:r>
      <w:r>
        <w:t xml:space="preserve"> </w:t>
      </w:r>
      <w:r>
        <w:fldChar w:fldCharType="begin" w:fldLock="1"/>
      </w:r>
      <w:r>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"id" : "ITEM-2",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"ITEM-2",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"(Ketchpel 1995; Abdollahian, Zinig, and Nelson 2013)", "plainTextFormattedCitation" : "(Ketchpel 1995; Abdollahian, Zinig, and Nelson 2013)", "previouslyFormattedCitation" : "(Ketchpel 1995; Abdollahian, Zinig, and Nelson 2013)" }, "properties" : { "noteIndex" : 3 }, "schema" : "https://github.com/citation-style-language/schema/raw/master/csl-citation.json" }</w:instrText>
      </w:r>
      <w:r>
        <w:fldChar w:fldCharType="separate"/>
      </w:r>
      <w:r w:rsidRPr="00F13BA0">
        <w:rPr>
          <w:noProof/>
        </w:rPr>
        <w:t>(Ketchpel 1995; Abdollahian, Zinig, and Nelson 2013)</w:t>
      </w:r>
      <w:r>
        <w:fldChar w:fldCharType="end"/>
      </w:r>
      <w:r w:rsidR="007E4F00">
        <w:t xml:space="preserve"> to assess coalition formation in Libya. Third, a discussion of the</w:t>
      </w:r>
      <w:r w:rsidR="00F07151">
        <w:t xml:space="preserve"> verification of the m</w:t>
      </w:r>
      <w:r w:rsidR="007E4F00">
        <w:t xml:space="preserve">odel, and the results. Fourth, a discussion from two perspectives, (1) the implication of the results from a foreign policy perspective and (2) a discussion of this approach as </w:t>
      </w:r>
      <w:r>
        <w:t>proof-of-concept</w:t>
      </w:r>
      <w:r w:rsidR="007E4F00">
        <w:t xml:space="preserve">. </w:t>
      </w:r>
    </w:p>
    <w:p w:rsidR="0030279E" w:rsidRDefault="00DB4432" w:rsidP="00220434">
      <w:pPr>
        <w:pStyle w:val="Heading1"/>
      </w:pPr>
      <w:r>
        <w:t>Background Libyan Civil war</w:t>
      </w:r>
    </w:p>
    <w:p w:rsidR="009006BE" w:rsidRDefault="00AE42DE" w:rsidP="00AE42DE">
      <w:r>
        <w:t xml:space="preserve">A basic historical background of Libya’s civil war is necessary to understand </w:t>
      </w:r>
      <w:r w:rsidR="009006BE">
        <w:t xml:space="preserve">the </w:t>
      </w:r>
      <w:r w:rsidR="00CD34F5">
        <w:t>methodology</w:t>
      </w:r>
      <w:r w:rsidR="009006BE">
        <w:t xml:space="preserve"> and </w:t>
      </w:r>
      <w:r w:rsidR="00CD34F5">
        <w:t>purpose</w:t>
      </w:r>
      <w:r w:rsidR="009006BE">
        <w:t xml:space="preserve"> of this model</w:t>
      </w:r>
      <w:r>
        <w:t xml:space="preserve">. The Arab Spring, a series of popular uprisings </w:t>
      </w:r>
      <w:r w:rsidR="00F07151">
        <w:t xml:space="preserve">in </w:t>
      </w:r>
      <w:r>
        <w:t>Arab countries</w:t>
      </w:r>
      <w:r w:rsidR="00F07151">
        <w:t>,</w:t>
      </w:r>
      <w:r>
        <w:t xml:space="preserve"> began in Tunisia in December 2010</w:t>
      </w:r>
      <w:r w:rsidR="00F07151">
        <w:t xml:space="preserve"> and </w:t>
      </w:r>
      <w:r>
        <w:t>spread to Libya in February 2011. A popular revolt started against M</w:t>
      </w:r>
      <w:r w:rsidR="009006BE">
        <w:t>uammar</w:t>
      </w:r>
      <w:r>
        <w:t xml:space="preserve"> Gaddafi’s </w:t>
      </w:r>
      <w:r w:rsidR="009006BE">
        <w:t xml:space="preserve">despotic </w:t>
      </w:r>
      <w:r>
        <w:t xml:space="preserve">government which had been in place since 1969. Gaddafi </w:t>
      </w:r>
      <w:r w:rsidR="009006BE">
        <w:t xml:space="preserve">responded by trying to </w:t>
      </w:r>
      <w:r>
        <w:t>violently suppress</w:t>
      </w:r>
      <w:r w:rsidR="009006BE">
        <w:t xml:space="preserve"> </w:t>
      </w:r>
      <w:r>
        <w:t xml:space="preserve">the uprising. In March 2011, the United Nations voted for a no-fly zone over Libya to protect civilians. The North Atlantic Treaty Organization executed the no-fly zone tipping the balance of power against Gaddafi’s security apparatuses. </w:t>
      </w:r>
    </w:p>
    <w:p w:rsidR="00CD34F5" w:rsidRDefault="00AE42DE" w:rsidP="00AE42DE">
      <w:r>
        <w:t>By August 2011 Gaddafi’s rule was effectively over as the General National Congress (</w:t>
      </w:r>
      <w:proofErr w:type="spellStart"/>
      <w:r>
        <w:t>GNC</w:t>
      </w:r>
      <w:proofErr w:type="spellEnd"/>
      <w:r>
        <w:t xml:space="preserve">) took control of the government from the National Transition Council. On October 20, 2011 Gaddafi </w:t>
      </w:r>
      <w:proofErr w:type="gramStart"/>
      <w:r>
        <w:t>was captured</w:t>
      </w:r>
      <w:proofErr w:type="gramEnd"/>
      <w:r>
        <w:t xml:space="preserve"> and then killed. Libya continued </w:t>
      </w:r>
      <w:r w:rsidR="009006BE">
        <w:t>the difficult process of forming</w:t>
      </w:r>
      <w:r>
        <w:t xml:space="preserve"> a new government, </w:t>
      </w:r>
      <w:r w:rsidR="009006BE">
        <w:t xml:space="preserve">only to erupt in </w:t>
      </w:r>
      <w:r>
        <w:t xml:space="preserve">a second phase of civil war beginning in 2014. Elections in June 2014 resulted in a defeat from Islamist dominated </w:t>
      </w:r>
      <w:proofErr w:type="spellStart"/>
      <w:r>
        <w:t>GNC</w:t>
      </w:r>
      <w:proofErr w:type="spellEnd"/>
      <w:r>
        <w:t>, who refused to step down. The elected House of Representatives (</w:t>
      </w:r>
      <w:proofErr w:type="spellStart"/>
      <w:r>
        <w:t>HoR</w:t>
      </w:r>
      <w:proofErr w:type="spellEnd"/>
      <w:r>
        <w:t xml:space="preserve">) tried to assume control of the government resulting in conflict between these two groups. In addition, Islamic Extremists such as Al-Qaeda and the Islamic State had taken or took control of the cities of Sirte, Benghazi and </w:t>
      </w:r>
      <w:proofErr w:type="spellStart"/>
      <w:r>
        <w:t>Derna</w:t>
      </w:r>
      <w:proofErr w:type="spellEnd"/>
      <w:r>
        <w:t xml:space="preserve">. Through the resulting conflict the </w:t>
      </w:r>
      <w:proofErr w:type="spellStart"/>
      <w:r>
        <w:t>HoR</w:t>
      </w:r>
      <w:proofErr w:type="spellEnd"/>
      <w:r>
        <w:t xml:space="preserve"> fled </w:t>
      </w:r>
      <w:r w:rsidR="009006BE">
        <w:t xml:space="preserve">from </w:t>
      </w:r>
      <w:r>
        <w:t xml:space="preserve">Tripoli to </w:t>
      </w:r>
      <w:proofErr w:type="spellStart"/>
      <w:r>
        <w:t>Tobruk</w:t>
      </w:r>
      <w:proofErr w:type="spellEnd"/>
      <w:r>
        <w:t>.</w:t>
      </w:r>
    </w:p>
    <w:p w:rsidR="00AE42DE" w:rsidRDefault="00AE42DE" w:rsidP="00AE42DE">
      <w:r>
        <w:t xml:space="preserve">In </w:t>
      </w:r>
      <w:proofErr w:type="spellStart"/>
      <w:r>
        <w:t>Janaury</w:t>
      </w:r>
      <w:proofErr w:type="spellEnd"/>
      <w:r>
        <w:t xml:space="preserve"> 2016, the United Nations tried to broker a peace agreement which produced the Government of National Accord (</w:t>
      </w:r>
      <w:proofErr w:type="spellStart"/>
      <w:r>
        <w:t>GNA</w:t>
      </w:r>
      <w:proofErr w:type="spellEnd"/>
      <w:r>
        <w:t xml:space="preserve">). The </w:t>
      </w:r>
      <w:proofErr w:type="spellStart"/>
      <w:r>
        <w:t>HoR</w:t>
      </w:r>
      <w:proofErr w:type="spellEnd"/>
      <w:r>
        <w:t xml:space="preserve"> and </w:t>
      </w:r>
      <w:proofErr w:type="spellStart"/>
      <w:r>
        <w:t>GNC</w:t>
      </w:r>
      <w:proofErr w:type="spellEnd"/>
      <w:r>
        <w:t xml:space="preserve"> do not recognize this new government although the international community recognizes it as th</w:t>
      </w:r>
      <w:r w:rsidR="009006BE">
        <w:t>e official government of Libya.</w:t>
      </w:r>
      <w:r>
        <w:t xml:space="preserve"> Since 2016 the </w:t>
      </w:r>
      <w:proofErr w:type="spellStart"/>
      <w:r>
        <w:t>HoR</w:t>
      </w:r>
      <w:proofErr w:type="spellEnd"/>
      <w:r>
        <w:t xml:space="preserve">, allied with General </w:t>
      </w:r>
      <w:proofErr w:type="spellStart"/>
      <w:r>
        <w:t>Haftar</w:t>
      </w:r>
      <w:proofErr w:type="spellEnd"/>
      <w:r>
        <w:t xml:space="preserve"> who commands the Libyan National Army (</w:t>
      </w:r>
      <w:proofErr w:type="spellStart"/>
      <w:r>
        <w:t>LNA</w:t>
      </w:r>
      <w:proofErr w:type="spellEnd"/>
      <w:r>
        <w:t xml:space="preserve">), </w:t>
      </w:r>
      <w:r w:rsidR="009006BE">
        <w:t>m</w:t>
      </w:r>
      <w:r>
        <w:t xml:space="preserve">ade steady progress eastward from </w:t>
      </w:r>
      <w:proofErr w:type="spellStart"/>
      <w:r>
        <w:t>Tobruk</w:t>
      </w:r>
      <w:proofErr w:type="spellEnd"/>
      <w:r>
        <w:t xml:space="preserve"> fighting extremists in Benghazi and </w:t>
      </w:r>
      <w:proofErr w:type="spellStart"/>
      <w:r>
        <w:t>Derna</w:t>
      </w:r>
      <w:proofErr w:type="spellEnd"/>
      <w:r>
        <w:t xml:space="preserve"> as well as securing the major oil revenue pipelines</w:t>
      </w:r>
      <w:r w:rsidR="00CD34F5">
        <w:t xml:space="preserve"> (as shown in Figure 1)</w:t>
      </w:r>
      <w:r>
        <w:t xml:space="preserve">. The </w:t>
      </w:r>
      <w:proofErr w:type="spellStart"/>
      <w:r>
        <w:t>LNA</w:t>
      </w:r>
      <w:proofErr w:type="spellEnd"/>
      <w:r>
        <w:t xml:space="preserve"> </w:t>
      </w:r>
      <w:proofErr w:type="gramStart"/>
      <w:r>
        <w:t>is stopped</w:t>
      </w:r>
      <w:proofErr w:type="gramEnd"/>
      <w:r>
        <w:t xml:space="preserve"> outside of Sirte, and major push into Sirte would signify the beginning of a conflict between the </w:t>
      </w:r>
      <w:proofErr w:type="spellStart"/>
      <w:r>
        <w:t>LNA</w:t>
      </w:r>
      <w:proofErr w:type="spellEnd"/>
      <w:r>
        <w:t xml:space="preserve"> and the powerful </w:t>
      </w:r>
      <w:proofErr w:type="spellStart"/>
      <w:r>
        <w:t>Misratan</w:t>
      </w:r>
      <w:proofErr w:type="spellEnd"/>
      <w:r>
        <w:t xml:space="preserve"> militias</w:t>
      </w:r>
      <w:r w:rsidR="009006BE">
        <w:t xml:space="preserve">, </w:t>
      </w:r>
      <w:r>
        <w:t xml:space="preserve">who seized Sirte from extremists in late 2016. </w:t>
      </w:r>
    </w:p>
    <w:p w:rsidR="00F07151" w:rsidRDefault="00AE42DE" w:rsidP="00F07151">
      <w:pPr>
        <w:pStyle w:val="Heading1"/>
      </w:pPr>
      <w:r>
        <w:t xml:space="preserve"> </w:t>
      </w:r>
      <w:r w:rsidR="00F07151">
        <w:t>Method</w:t>
      </w:r>
    </w:p>
    <w:p w:rsidR="00F07151" w:rsidRDefault="00F07151" w:rsidP="00F07151">
      <w:pPr>
        <w:pStyle w:val="Heading2"/>
      </w:pPr>
      <w:r>
        <w:t>Qualitative Assessment of Libyan Groups</w:t>
      </w:r>
      <w:r>
        <w:tab/>
      </w:r>
    </w:p>
    <w:p w:rsidR="00F07151" w:rsidRDefault="00E74222" w:rsidP="00F07151">
      <w:r w:rsidRPr="00404817">
        <w:t>T</w:t>
      </w:r>
      <w:r w:rsidR="00F07151" w:rsidRPr="00404817">
        <w:t xml:space="preserve">his paper looks at the </w:t>
      </w:r>
      <w:r w:rsidRPr="00404817">
        <w:t xml:space="preserve">Libyan civil conflict </w:t>
      </w:r>
      <w:r w:rsidR="00F07151" w:rsidRPr="00404817">
        <w:t xml:space="preserve">from the perspective of how </w:t>
      </w:r>
      <w:r w:rsidR="00404817" w:rsidRPr="00404817">
        <w:t>foreign support</w:t>
      </w:r>
      <w:r w:rsidR="00F07151" w:rsidRPr="00404817">
        <w:t xml:space="preserve"> will influence the decision making of the participants as they seek to maximize their situation and shape the emerging order</w:t>
      </w:r>
      <w:proofErr w:type="gramStart"/>
      <w:r w:rsidR="00F07151" w:rsidRPr="00404817">
        <w:t xml:space="preserve">.  </w:t>
      </w:r>
      <w:proofErr w:type="gramEnd"/>
      <w:r w:rsidR="00CA7CA1" w:rsidRPr="00404817">
        <w:t>This approach is consistent with</w:t>
      </w:r>
      <w:r w:rsidR="00CA7CA1" w:rsidRPr="00404817">
        <w:t xml:space="preserve"> civil wars </w:t>
      </w:r>
      <w:r w:rsidR="00404817" w:rsidRPr="00404817">
        <w:t>as</w:t>
      </w:r>
      <w:r w:rsidR="00CA7CA1" w:rsidRPr="00404817">
        <w:t xml:space="preserve"> highly fluid situations of changing coalitions and local fights, where participants leverage the warring factions for their own ends (</w:t>
      </w:r>
      <w:proofErr w:type="spellStart"/>
      <w:r w:rsidR="00CA7CA1" w:rsidRPr="00404817">
        <w:t>Kalyvas</w:t>
      </w:r>
      <w:proofErr w:type="spellEnd"/>
      <w:r w:rsidR="00CA7CA1" w:rsidRPr="00404817">
        <w:t xml:space="preserve"> 2006).</w:t>
      </w:r>
    </w:p>
    <w:p w:rsidR="00F07151" w:rsidRDefault="00404817" w:rsidP="00F07151">
      <w:r>
        <w:t>The challenge is there is little</w:t>
      </w:r>
      <w:r w:rsidR="00F07151">
        <w:t xml:space="preserve"> data on how each Libyan perceives the situation and what emergent power structure they may support</w:t>
      </w:r>
      <w:r>
        <w:t xml:space="preserve"> and under what conditions</w:t>
      </w:r>
      <w:r w:rsidR="00F07151">
        <w:t xml:space="preserve">. </w:t>
      </w:r>
      <w:r>
        <w:t>A</w:t>
      </w:r>
      <w:r>
        <w:t>s intelligence assessments must use the best information available</w:t>
      </w:r>
      <w:r>
        <w:t xml:space="preserve"> and infer many details, th</w:t>
      </w:r>
      <w:r w:rsidR="00F07151">
        <w:t xml:space="preserve">is qualitative assessment </w:t>
      </w:r>
      <w:r>
        <w:t xml:space="preserve">step </w:t>
      </w:r>
      <w:r w:rsidR="00F07151">
        <w:t>represents the heavy-lifting required by analysts</w:t>
      </w:r>
      <w:proofErr w:type="gramStart"/>
      <w:r w:rsidR="00F07151">
        <w:t xml:space="preserve">. </w:t>
      </w:r>
      <w:proofErr w:type="gramEnd"/>
      <w:r w:rsidR="00F07151">
        <w:t>Libya has approximately 140 tribes and although Gaddafi tried eliminate the tribes as a part of Libyan identity they still offer a fair representation of the different views of Libyan society (</w:t>
      </w:r>
      <w:proofErr w:type="spellStart"/>
      <w:r w:rsidR="00F07151">
        <w:t>Hatitah</w:t>
      </w:r>
      <w:proofErr w:type="spellEnd"/>
      <w:r w:rsidR="00F07151">
        <w:t xml:space="preserve"> and Al-Awsat 2011; Tempelhof and Omar 2012; Masson and </w:t>
      </w:r>
      <w:proofErr w:type="spellStart"/>
      <w:r w:rsidR="00F07151">
        <w:t>Freidel</w:t>
      </w:r>
      <w:proofErr w:type="spellEnd"/>
      <w:r w:rsidR="00F07151">
        <w:t xml:space="preserve"> 2012; Eriksson 2016)</w:t>
      </w:r>
      <w:r>
        <w:t>. Based on this information, the</w:t>
      </w:r>
      <w:r>
        <w:t xml:space="preserve"> </w:t>
      </w:r>
      <w:r>
        <w:t>t</w:t>
      </w:r>
      <w:r>
        <w:t xml:space="preserve">ribal level </w:t>
      </w:r>
      <w:r>
        <w:t xml:space="preserve">was </w:t>
      </w:r>
      <w:r>
        <w:t xml:space="preserve">selected as the appropriate level of </w:t>
      </w:r>
      <w:proofErr w:type="gramStart"/>
      <w:r>
        <w:t>analysis.</w:t>
      </w:r>
      <w:r w:rsidR="00F07151">
        <w:t>.</w:t>
      </w:r>
      <w:proofErr w:type="gramEnd"/>
      <w:r w:rsidR="00F07151">
        <w:t xml:space="preserve"> </w:t>
      </w:r>
    </w:p>
    <w:p w:rsidR="009006BE" w:rsidRDefault="009006BE" w:rsidP="00AE42DE">
      <w:r>
        <w:rPr>
          <w:noProof/>
        </w:rPr>
        <w:lastRenderedPageBreak/>
        <w:drawing>
          <wp:inline distT="0" distB="0" distL="0" distR="0" wp14:anchorId="11EF6A84" wp14:editId="28D607D8">
            <wp:extent cx="5907147" cy="2937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ya time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140" cy="2941138"/>
                    </a:xfrm>
                    <a:prstGeom prst="rect">
                      <a:avLst/>
                    </a:prstGeom>
                    <a:ln>
                      <a:noFill/>
                    </a:ln>
                  </pic:spPr>
                </pic:pic>
              </a:graphicData>
            </a:graphic>
          </wp:inline>
        </w:drawing>
      </w:r>
    </w:p>
    <w:p w:rsidR="002242FA" w:rsidRDefault="00AE42DE" w:rsidP="0001506B">
      <w:pPr>
        <w:spacing w:before="120" w:after="240"/>
        <w:contextualSpacing/>
        <w:jc w:val="center"/>
      </w:pPr>
      <w:r>
        <w:t>Figure 1: Timeline of events in Libya</w:t>
      </w:r>
    </w:p>
    <w:p w:rsidR="00AE42DE" w:rsidRDefault="00AE42DE" w:rsidP="0001506B">
      <w:pPr>
        <w:spacing w:before="120" w:after="240"/>
        <w:contextualSpacing/>
        <w:jc w:val="center"/>
      </w:pPr>
      <w:r>
        <w:t xml:space="preserve"> </w:t>
      </w:r>
      <w:r w:rsidR="0087269D" w:rsidRPr="0087269D">
        <w:fldChar w:fldCharType="begin" w:fldLock="1"/>
      </w:r>
      <w:r w:rsidR="0087269D" w:rsidRPr="0087269D">
        <w:instrText>ADDIN CSL_CITATION { "citationItems" : [ { "id" : "ITEM-1", "itemData" : { "DOI" : "10.1080/13629387.2015.1075307", "ISBN" : "9780190210960", "ISSN" : "1362-9387", "author" : [ { "dropping-particle" : "", "family" : "Boduszy\u0144ski", "given" : "Mieczys\u0142aw P.", "non-dropping-particle" : "", "parse-names" : false, "suffix" : "" } ], "container-title" : "The Journal of North African Studies", "id" : "ITEM-1", "issue" : "5", "issued" : { "date-parts" : [ [ "2015" ] ] }, "page" : "898-900", "title" : "The Libyan revolution and its aftermath / The 2011 Libyan uprisings and the struggle for the post-Qadhafi future", "type" : "article-journal", "volume" : "20" }, "uris" : [ "http://www.mendeley.com/documents/?uuid=23507561-293b-46e6-82ae-c5d0b249686a" ] }, { "id" : "ITEM-2", "itemData" : { "URL" : "http://www.bbc.com/news/world-africa-13755445", "accessed" : { "date-parts" : [ [ "2017", "5", "8" ] ] }, "id" : "ITEM-2", "issued" : { "date-parts" : [ [ "0" ] ] }, "title" : "Libya profile - Timeline - BBC News", "type" : "webpage" }, "uris" : [ "http://www.mendeley.com/documents/?uuid=90617e28-fa44-39b2-83d6-848ee57240e5" ] } ], "mendeley" : { "formattedCitation" : "(Boduszy\u0144ski 2015; \u201cLibya Profile - Timeline - BBC News\u201d 2017)", "plainTextFormattedCitation" : "(Boduszy\u0144ski 2015; \u201cLibya Profile - Timeline - BBC News\u201d 2017)", "previouslyFormattedCitation" : "(Boduszy\u0144ski 2015; \u201cLibya Profile - Timeline - BBC News\u201d 2017)" }, "properties" : { "noteIndex" : 4 }, "schema" : "https://github.com/citation-style-language/schema/raw/master/csl-citation.json" }</w:instrText>
      </w:r>
      <w:r w:rsidR="0087269D" w:rsidRPr="0087269D">
        <w:fldChar w:fldCharType="separate"/>
      </w:r>
      <w:r w:rsidR="0087269D" w:rsidRPr="0087269D">
        <w:rPr>
          <w:noProof/>
        </w:rPr>
        <w:t>(Boduszyński 2015; “Libya Profile - Timeline - BBC News” 2017)</w:t>
      </w:r>
      <w:r w:rsidR="0087269D" w:rsidRPr="0087269D">
        <w:fldChar w:fldCharType="end"/>
      </w:r>
    </w:p>
    <w:p w:rsidR="0001506B" w:rsidRDefault="0001506B" w:rsidP="0001506B">
      <w:pPr>
        <w:spacing w:before="120" w:after="240"/>
        <w:contextualSpacing/>
        <w:jc w:val="center"/>
      </w:pPr>
    </w:p>
    <w:p w:rsidR="009712EB" w:rsidRDefault="00FD7375" w:rsidP="00AE42DE">
      <w:r>
        <w:t xml:space="preserve">As </w:t>
      </w:r>
      <w:r w:rsidR="00404817">
        <w:t xml:space="preserve">there is no recent comprehensive study of Libyan </w:t>
      </w:r>
      <w:r w:rsidR="00AE42DE">
        <w:t>tribes</w:t>
      </w:r>
      <w:r>
        <w:t>,</w:t>
      </w:r>
      <w:r w:rsidR="00AE42DE">
        <w:t xml:space="preserve"> I </w:t>
      </w:r>
      <w:r w:rsidR="00A86CD2">
        <w:t>developed</w:t>
      </w:r>
      <w:r w:rsidR="00AE42DE">
        <w:t xml:space="preserve"> a list of 128 </w:t>
      </w:r>
      <w:r w:rsidR="00404817">
        <w:t>groups</w:t>
      </w:r>
      <w:r w:rsidR="00AE42DE">
        <w:t xml:space="preserve"> through a variety of </w:t>
      </w:r>
      <w:r w:rsidR="00A86CD2">
        <w:t>studies</w:t>
      </w:r>
      <w:r w:rsidR="00AE42DE">
        <w:t xml:space="preserve">. </w:t>
      </w:r>
      <w:r w:rsidR="00A86CD2">
        <w:t>S</w:t>
      </w:r>
      <w:r w:rsidR="00AE42DE">
        <w:t xml:space="preserve">everal studies described local </w:t>
      </w:r>
      <w:r w:rsidR="009712EB">
        <w:t xml:space="preserve">tribes </w:t>
      </w:r>
      <w:r w:rsidR="00404817">
        <w:t>and their dynamics during the civil war</w:t>
      </w:r>
      <w:r w:rsidR="009712EB">
        <w:t xml:space="preserve">. These studies did allow for </w:t>
      </w:r>
      <w:r w:rsidR="00AE42DE">
        <w:t xml:space="preserve">a qualitative assessment </w:t>
      </w:r>
      <w:r w:rsidR="009712EB">
        <w:t xml:space="preserve">for several tribes in each of the major regions of </w:t>
      </w:r>
      <w:proofErr w:type="gramStart"/>
      <w:r w:rsidR="009712EB">
        <w:t xml:space="preserve">Libya </w:t>
      </w:r>
      <w:r w:rsidR="00AE42DE">
        <w:t xml:space="preserve"> (</w:t>
      </w:r>
      <w:proofErr w:type="spellStart"/>
      <w:proofErr w:type="gramEnd"/>
      <w:r w:rsidR="00AE42DE">
        <w:t>Lacher</w:t>
      </w:r>
      <w:proofErr w:type="spellEnd"/>
      <w:r w:rsidR="00AE42DE">
        <w:t xml:space="preserve"> 2011; Fitzgerald 2015; Eriksson 2016; </w:t>
      </w:r>
      <w:proofErr w:type="spellStart"/>
      <w:r w:rsidR="00AE42DE">
        <w:t>Boduszyński</w:t>
      </w:r>
      <w:proofErr w:type="spellEnd"/>
      <w:r w:rsidR="00AE42DE">
        <w:t xml:space="preserve"> 2015; Cole and Mangan 2016; Cole and </w:t>
      </w:r>
      <w:proofErr w:type="spellStart"/>
      <w:r w:rsidR="00AE42DE">
        <w:t>McQuinn</w:t>
      </w:r>
      <w:proofErr w:type="spellEnd"/>
      <w:r w:rsidR="00AE42DE">
        <w:t xml:space="preserve"> 2015). </w:t>
      </w:r>
      <w:r w:rsidR="00404817">
        <w:t xml:space="preserve">A challenge arose </w:t>
      </w:r>
      <w:r w:rsidR="00A86CD2">
        <w:t xml:space="preserve">when these tribal groups </w:t>
      </w:r>
      <w:r w:rsidR="009712EB">
        <w:t xml:space="preserve">and their estimated size </w:t>
      </w:r>
      <w:r w:rsidR="00A86CD2">
        <w:t xml:space="preserve">were compared </w:t>
      </w:r>
      <w:proofErr w:type="gramStart"/>
      <w:r w:rsidR="00AE42DE">
        <w:t xml:space="preserve">with </w:t>
      </w:r>
      <w:r w:rsidR="009712EB">
        <w:t xml:space="preserve"> </w:t>
      </w:r>
      <w:r w:rsidR="00AE42DE">
        <w:t>population</w:t>
      </w:r>
      <w:proofErr w:type="gramEnd"/>
      <w:r w:rsidR="00AE42DE">
        <w:t xml:space="preserve"> estimates</w:t>
      </w:r>
      <w:r w:rsidR="00404817">
        <w:t xml:space="preserve"> of Libya.</w:t>
      </w:r>
      <w:r w:rsidR="00A86CD2">
        <w:t xml:space="preserve"> </w:t>
      </w:r>
      <w:r w:rsidR="00404817">
        <w:t>T</w:t>
      </w:r>
      <w:r w:rsidR="00AE42DE">
        <w:t>here still several areas</w:t>
      </w:r>
      <w:r w:rsidR="00A86CD2">
        <w:t>,</w:t>
      </w:r>
      <w:r w:rsidR="00AE42DE">
        <w:t xml:space="preserve"> particularly in the more densely populated west</w:t>
      </w:r>
      <w:r w:rsidR="00A86CD2">
        <w:t>,</w:t>
      </w:r>
      <w:r w:rsidR="00AE42DE">
        <w:t xml:space="preserve"> for which there was not detailed information. To account for these populations I made inferences based on geographic alignment and historic coalitions</w:t>
      </w:r>
      <w:r w:rsidR="00A86CD2">
        <w:t>.</w:t>
      </w:r>
      <w:r w:rsidR="00AE42DE">
        <w:t xml:space="preserve"> I also accounted for groups of people who </w:t>
      </w:r>
      <w:r w:rsidR="009712EB">
        <w:t xml:space="preserve">are </w:t>
      </w:r>
      <w:r w:rsidR="00AE42DE">
        <w:t>not affiliated with any major tribe</w:t>
      </w:r>
      <w:r w:rsidR="009712EB">
        <w:t xml:space="preserve"> and</w:t>
      </w:r>
      <w:r w:rsidR="00AE42DE">
        <w:t xml:space="preserve"> which </w:t>
      </w:r>
      <w:proofErr w:type="gramStart"/>
      <w:r w:rsidR="009712EB">
        <w:t xml:space="preserve">are </w:t>
      </w:r>
      <w:r w:rsidR="00AE42DE">
        <w:t>aligned</w:t>
      </w:r>
      <w:proofErr w:type="gramEnd"/>
      <w:r w:rsidR="00AE42DE">
        <w:t xml:space="preserve"> with various ideologies in urban centers.</w:t>
      </w:r>
      <w:r w:rsidR="009712EB">
        <w:t xml:space="preserve"> </w:t>
      </w:r>
      <w:r w:rsidR="00A86CD2">
        <w:t>(</w:t>
      </w:r>
      <w:r w:rsidR="00316774">
        <w:t>Although never preferred, this need to make inferences based on the best available information is a fundamental part of intelligence analysis.</w:t>
      </w:r>
      <w:r w:rsidR="00A86CD2">
        <w:t>)</w:t>
      </w:r>
      <w:r w:rsidR="00316774">
        <w:t xml:space="preserve"> </w:t>
      </w:r>
      <w:r w:rsidR="009712EB">
        <w:t xml:space="preserve">This process gave me a list of 128 </w:t>
      </w:r>
      <w:r w:rsidR="00404817">
        <w:t>groups</w:t>
      </w:r>
      <w:r w:rsidR="009712EB">
        <w:t xml:space="preserve"> who proportionally cover the Libyan population</w:t>
      </w:r>
      <w:r w:rsidR="00AE42DE">
        <w:t xml:space="preserve"> </w:t>
      </w:r>
      <w:r w:rsidR="009712EB">
        <w:t>based o</w:t>
      </w:r>
      <w:r w:rsidR="00404817">
        <w:t>n the best available information</w:t>
      </w:r>
      <w:r w:rsidR="009712EB">
        <w:t xml:space="preserve">. </w:t>
      </w:r>
    </w:p>
    <w:p w:rsidR="00485584" w:rsidRDefault="009712EB" w:rsidP="00AE42DE">
      <w:r>
        <w:t>Throughout the process of identifying the major tribes</w:t>
      </w:r>
      <w:r w:rsidR="00A86CD2">
        <w:t xml:space="preserve">, it was also necessary to determine two parameters for the bilateral Shapley value algorithm, preference and power. For preference, </w:t>
      </w:r>
      <w:r w:rsidR="006019FD">
        <w:t>this was the group</w:t>
      </w:r>
      <w:r w:rsidR="00E96BE6">
        <w:t>’</w:t>
      </w:r>
      <w:r w:rsidR="006019FD">
        <w:t xml:space="preserve">s ideological affinity. This was assessed using the ubiquitous one dimensional political spectrum prevalent throughout modern </w:t>
      </w:r>
      <w:r w:rsidR="00E96BE6">
        <w:t>politics</w:t>
      </w:r>
      <w:r w:rsidR="006019FD">
        <w:t xml:space="preserve"> and dating back to the French revolution</w:t>
      </w:r>
      <w:r w:rsidR="00E96BE6">
        <w:t xml:space="preserve"> </w:t>
      </w:r>
      <w:r w:rsidR="00E96BE6">
        <w:fldChar w:fldCharType="begin" w:fldLock="1"/>
      </w:r>
      <w:r w:rsidR="00E96BE6">
        <w:instrText>ADDIN CSL_CITATION { "citationItems" : [ { "id" : "ITEM-1", "itemData" : { "ISBN" : "978-0-06-078151-4", "author" : [ { "dropping-particle" : "", "family" : "Ferris", "given" : "Timothy", "non-dropping-particle" : "", "parse-names" : false, "suffix" : "" } ], "id" : "ITEM-1", "issued" : { "date-parts" : [ [ "2011" ] ] }, "publisher" : "Harper Perennial", "publisher-place" : "New York", "title" : "The Science of Liberty: Democracy, Reasons and the Laws of Nature", "type" : "book" }, "uris" : [ "http://www.mendeley.com/documents/?uuid=2ed8abfd-2dcf-4b38-a0e2-224dc592b31b" ] } ], "mendeley" : { "formattedCitation" : "(Ferris 2011)", "plainTextFormattedCitation" : "(Ferris 2011)", "previouslyFormattedCitation" : "(Ferris 2011)" }, "properties" : { "noteIndex" : 5 }, "schema" : "https://github.com/citation-style-language/schema/raw/master/csl-citation.json" }</w:instrText>
      </w:r>
      <w:r w:rsidR="00E96BE6">
        <w:fldChar w:fldCharType="separate"/>
      </w:r>
      <w:r w:rsidR="00E96BE6" w:rsidRPr="00E96BE6">
        <w:rPr>
          <w:noProof/>
        </w:rPr>
        <w:t>(Ferris 2011)</w:t>
      </w:r>
      <w:r w:rsidR="00E96BE6">
        <w:fldChar w:fldCharType="end"/>
      </w:r>
      <w:r w:rsidR="006019FD">
        <w:t>.</w:t>
      </w:r>
      <w:r w:rsidR="00E96BE6">
        <w:t xml:space="preserve">  Ideological affinity was assessed on a </w:t>
      </w:r>
      <w:proofErr w:type="gramStart"/>
      <w:r w:rsidR="00E96BE6">
        <w:t>100 point</w:t>
      </w:r>
      <w:proofErr w:type="gramEnd"/>
      <w:r w:rsidR="00E96BE6">
        <w:t xml:space="preserve"> scale ranging from 0.0 to 10.0. 0.0 represents an ultra-nationalist who is secular and is concerned for the stability of Libya even if another dictator is in charge. 10.0 represents an Islamic extremist, such as those embodied by the Islamic State ideology. Based on the historical background there were three points on this spectrum which are </w:t>
      </w:r>
      <w:r w:rsidR="005B0F35">
        <w:t>re</w:t>
      </w:r>
      <w:r w:rsidR="00E96BE6">
        <w:t>presentative of the various competing ideologies</w:t>
      </w:r>
      <w:proofErr w:type="gramStart"/>
      <w:r w:rsidR="00E96BE6">
        <w:t xml:space="preserve">.  </w:t>
      </w:r>
      <w:proofErr w:type="gramEnd"/>
      <w:r w:rsidR="00E96BE6">
        <w:t>First, an affinity score near 3.0 represents nationalists. Groups who had more secular leanings and generally looked to historical precedent to shape their views of Libya’s future. Second, 6.0 represents fundamentalists. Groups who wanted a more religious society were closer to 6.0, with more fundamentalist groups that followed Salafist traditions (Islamic tradition most closely associated with Saudi Arabia) had higher scores closer to 7 or 8. Islamic extremists, most closely associated with zealots such as Al-Qaeda or the Islamic State had scores at 9 and above</w:t>
      </w:r>
      <w:r w:rsidR="00485584">
        <w:t>.</w:t>
      </w:r>
    </w:p>
    <w:p w:rsidR="00D61DE8" w:rsidRDefault="00485584" w:rsidP="00AE42DE">
      <w:r>
        <w:t xml:space="preserve">The </w:t>
      </w:r>
      <w:r w:rsidRPr="00485584">
        <w:t xml:space="preserve">average of two variables, economic resources and military capability </w:t>
      </w:r>
      <w:proofErr w:type="gramStart"/>
      <w:r>
        <w:t>was used</w:t>
      </w:r>
      <w:proofErr w:type="gramEnd"/>
      <w:r>
        <w:t xml:space="preserve"> </w:t>
      </w:r>
      <w:r w:rsidRPr="00485584">
        <w:t xml:space="preserve">to assess a group’s power. </w:t>
      </w:r>
      <w:r w:rsidR="00E6582F">
        <w:t xml:space="preserve">The two variables </w:t>
      </w:r>
      <w:proofErr w:type="gramStart"/>
      <w:r w:rsidR="00E6582F">
        <w:t>were selected</w:t>
      </w:r>
      <w:proofErr w:type="gramEnd"/>
      <w:r w:rsidR="00E6582F">
        <w:t xml:space="preserve"> based o</w:t>
      </w:r>
      <w:r w:rsidR="0087269D">
        <w:t xml:space="preserve">n research of political survival and civil war. Groups need economic resources to distribute public and private goods </w:t>
      </w:r>
      <w:r w:rsidR="0087269D">
        <w:fldChar w:fldCharType="begin" w:fldLock="1"/>
      </w:r>
      <w:r w:rsidR="0087269D">
        <w:instrText>ADDIN CSL_CITATION { "citationItems" : [ { "id" : "ITEM-1", "itemData" : { "ISBN" : "0-262-02546-9", "author" : [ { "dropping-particle" : "", "family" : "Bueno De Mesquita", "given" : "Bruce", "non-dropping-particle" : "", "parse-names" : false, "suffix" : "" }, { "dropping-particle" : "", "family" : "Smith", "given" : "Alastair", "non-dropping-particle" : "", "parse-names" : false, "suffix" : "" }, { "dropping-particle" : "", "family" : "Siverson", "given" : "Randolph M.", "non-dropping-particle" : "", "parse-names" : false, "suffix" : "" }, { "dropping-particle" : "", "family" : "Morrow", "given" : "James D.", "non-dropping-particle" : "", "parse-names" : false, "suffix" : "" } ], "id" : "ITEM-1", "issued" : { "date-parts" : [ [ "2003" ] ] }, "publisher" : "The MIT Press", "publisher-place" : "Cambridge, Massachusetts", "title" : "The Logic of Political Survival", "type" : "book" }, "uris" : [ "http://www.mendeley.com/documents/?uuid=0e2d69c0-263b-4264-a787-a59b5bec1aee" ] } ], "mendeley" : { "formattedCitation" : "(Bueno De Mesquita et al. 2003)", "plainTextFormattedCitation" : "(Bueno De Mesquita et al. 2003)", "previouslyFormattedCitation" : "(Bueno De Mesquita et al. 2003)" }, "properties" : { "noteIndex" : 5 }, "schema" : "https://github.com/citation-style-language/schema/raw/master/csl-citation.json" }</w:instrText>
      </w:r>
      <w:r w:rsidR="0087269D">
        <w:fldChar w:fldCharType="separate"/>
      </w:r>
      <w:r w:rsidR="0087269D" w:rsidRPr="0087269D">
        <w:rPr>
          <w:noProof/>
        </w:rPr>
        <w:t>(Bueno De Mesquita et al. 2003)</w:t>
      </w:r>
      <w:r w:rsidR="0087269D">
        <w:fldChar w:fldCharType="end"/>
      </w:r>
      <w:r w:rsidR="0087269D">
        <w:t xml:space="preserve"> and need a </w:t>
      </w:r>
      <w:r w:rsidR="0087269D">
        <w:lastRenderedPageBreak/>
        <w:t xml:space="preserve">monopoly of force to maintain their power </w:t>
      </w:r>
      <w:r w:rsidR="0087269D">
        <w:fldChar w:fldCharType="begin" w:fldLock="1"/>
      </w:r>
      <w:r w:rsidR="0087269D">
        <w:instrText>ADDIN CSL_CITATION { "citationItems" : [ { "id" : "ITEM-1", "itemData" : { "ISBN" : "9780875865492", "author" : [ { "dropping-particle" : "", "family" : "Weber", "given" : "Max", "non-dropping-particle" : "", "parse-names" : false, "suffix" : "" }, { "dropping-particle" : "", "family" : "Dreijmanis", "given" : "John", "non-dropping-particle" : "", "parse-names" : false, "suffix" : "" } ], "id" : "ITEM-1", "issued" : { "date-parts" : [ [ "2008" ] ] }, "language" : "English", "note" : "Accession Number: 221042; OCLC: 213811998; Language: English", "publisher" : "Algora Publishing", "publisher-place" : "New York", "title" : "Max Weber's Complete Writings on Academic and Political Vocations", "type" : "book" }, "uris" : [ "http://www.mendeley.com/documents/?uuid=31455285-e468-448b-9986-81eee593026d" ] } ], "mendeley" : { "formattedCitation" : "(Weber and Dreijmanis 2008)", "plainTextFormattedCitation" : "(Weber and Dreijmanis 2008)", "previouslyFormattedCitation" : "(Weber and Dreijmanis 2008)" }, "properties" : { "noteIndex" : 5 }, "schema" : "https://github.com/citation-style-language/schema/raw/master/csl-citation.json" }</w:instrText>
      </w:r>
      <w:r w:rsidR="0087269D">
        <w:fldChar w:fldCharType="separate"/>
      </w:r>
      <w:r w:rsidR="0087269D" w:rsidRPr="0087269D">
        <w:rPr>
          <w:noProof/>
        </w:rPr>
        <w:t>(Weber and Dreijmanis 2008)</w:t>
      </w:r>
      <w:r w:rsidR="0087269D">
        <w:fldChar w:fldCharType="end"/>
      </w:r>
      <w:r w:rsidR="0087269D">
        <w:t>. E</w:t>
      </w:r>
      <w:r w:rsidRPr="00485584">
        <w:t xml:space="preserve">conomic resources </w:t>
      </w:r>
      <w:r w:rsidR="005B0F35">
        <w:t>were</w:t>
      </w:r>
      <w:r>
        <w:t xml:space="preserve"> </w:t>
      </w:r>
      <w:r w:rsidRPr="00485584">
        <w:t xml:space="preserve">based on </w:t>
      </w:r>
      <w:r>
        <w:t>a group’s</w:t>
      </w:r>
      <w:r w:rsidRPr="00485584">
        <w:t xml:space="preserve"> geographic location and assessed access to major revenue sources </w:t>
      </w:r>
      <w:r w:rsidR="00D61DE8">
        <w:t xml:space="preserve">also on </w:t>
      </w:r>
      <w:proofErr w:type="gramStart"/>
      <w:r w:rsidR="00D61DE8">
        <w:t>100 point</w:t>
      </w:r>
      <w:proofErr w:type="gramEnd"/>
      <w:r w:rsidRPr="00485584">
        <w:t xml:space="preserve"> scale from 0</w:t>
      </w:r>
      <w:r w:rsidR="00D61DE8">
        <w:t>.0</w:t>
      </w:r>
      <w:r w:rsidRPr="00485584">
        <w:t xml:space="preserve"> to 10</w:t>
      </w:r>
      <w:r w:rsidR="00D61DE8">
        <w:t>.0</w:t>
      </w:r>
      <w:r w:rsidRPr="00485584">
        <w:t>. Qaddafi had a large government which by some estimates employed up to 80% of the population (</w:t>
      </w:r>
      <w:proofErr w:type="spellStart"/>
      <w:r w:rsidRPr="00485584">
        <w:t>Elgazzar</w:t>
      </w:r>
      <w:proofErr w:type="spellEnd"/>
      <w:r w:rsidRPr="00485584">
        <w:t xml:space="preserve"> et al. 2015). Post-Qaddafi Libya has two major revenues sources, trade between Europe and Africa (much of it illicit) and oil (Shaw and Mangan 2014; U.S. Energy Information Administration 2016). An assessment of the group’s access to trade revenue and oil revenue accounting for damaged infrastructure as of spring 2017 formed each group’s economic resources value. </w:t>
      </w:r>
    </w:p>
    <w:p w:rsidR="00D61DE8" w:rsidRDefault="00D61DE8" w:rsidP="00AE42DE">
      <w:r>
        <w:t xml:space="preserve">For military capability, </w:t>
      </w:r>
      <w:r w:rsidR="00485584" w:rsidRPr="00485584">
        <w:t>I was unable to find detailed descriptions of different militia organizations</w:t>
      </w:r>
      <w:r w:rsidR="005B0F35">
        <w:t>,</w:t>
      </w:r>
      <w:r w:rsidR="00485584" w:rsidRPr="00485584">
        <w:t xml:space="preserve"> military hardware (tanks, planes</w:t>
      </w:r>
      <w:r>
        <w:t>,</w:t>
      </w:r>
      <w:r w:rsidR="00485584" w:rsidRPr="00485584">
        <w:t xml:space="preserve"> etc</w:t>
      </w:r>
      <w:r>
        <w:t>.</w:t>
      </w:r>
      <w:r w:rsidR="00485584" w:rsidRPr="00485584">
        <w:t>) and leadership (ability to leverage these resources and command a following)</w:t>
      </w:r>
      <w:r>
        <w:t xml:space="preserve"> which would </w:t>
      </w:r>
      <w:proofErr w:type="gramStart"/>
      <w:r>
        <w:t>be used</w:t>
      </w:r>
      <w:proofErr w:type="gramEnd"/>
      <w:r>
        <w:t xml:space="preserve"> for a traditional military assessment</w:t>
      </w:r>
      <w:r w:rsidR="00485584" w:rsidRPr="00485584">
        <w:t xml:space="preserve">. </w:t>
      </w:r>
      <w:r>
        <w:t>Therefore, e</w:t>
      </w:r>
      <w:r w:rsidR="00485584" w:rsidRPr="00485584">
        <w:t xml:space="preserve">ach group’s military capability value </w:t>
      </w:r>
      <w:proofErr w:type="gramStart"/>
      <w:r w:rsidR="00485584" w:rsidRPr="00485584">
        <w:t>was assessed</w:t>
      </w:r>
      <w:proofErr w:type="gramEnd"/>
      <w:r w:rsidR="00485584" w:rsidRPr="00485584">
        <w:t xml:space="preserve"> based on demonstrated capability and known foreign support. For example, Egypt provided air support to </w:t>
      </w:r>
      <w:proofErr w:type="spellStart"/>
      <w:r w:rsidR="00485584" w:rsidRPr="00485584">
        <w:t>LNA</w:t>
      </w:r>
      <w:proofErr w:type="spellEnd"/>
      <w:r w:rsidR="00485584" w:rsidRPr="00485584">
        <w:t xml:space="preserve"> actions against extremists in </w:t>
      </w:r>
      <w:proofErr w:type="spellStart"/>
      <w:r w:rsidR="00485584" w:rsidRPr="00485584">
        <w:t>Derna</w:t>
      </w:r>
      <w:proofErr w:type="spellEnd"/>
      <w:r w:rsidR="00485584" w:rsidRPr="00485584">
        <w:t xml:space="preserve"> and generally appears to provide military support to the </w:t>
      </w:r>
      <w:proofErr w:type="spellStart"/>
      <w:r w:rsidR="00485584" w:rsidRPr="00485584">
        <w:t>LNA</w:t>
      </w:r>
      <w:proofErr w:type="spellEnd"/>
      <w:r w:rsidR="00485584" w:rsidRPr="00485584">
        <w:t xml:space="preserve"> (“Egypt Launches Strikes in Libya after Minya Attack | Egypt News | Al Jazeera” 2017; “Khalifa </w:t>
      </w:r>
      <w:proofErr w:type="spellStart"/>
      <w:r w:rsidR="00485584" w:rsidRPr="00485584">
        <w:t>Haftar</w:t>
      </w:r>
      <w:proofErr w:type="spellEnd"/>
      <w:r w:rsidR="00485584" w:rsidRPr="00485584">
        <w:t xml:space="preserve"> Forces Capture Key Libya Oil Terminals | Libya News | Al Jazeera” 2017).</w:t>
      </w:r>
      <w:r>
        <w:t xml:space="preserve"> Military capability was also assessed on a similar </w:t>
      </w:r>
      <w:proofErr w:type="gramStart"/>
      <w:r>
        <w:t>100 point</w:t>
      </w:r>
      <w:proofErr w:type="gramEnd"/>
      <w:r>
        <w:t xml:space="preserve"> scale. </w:t>
      </w:r>
    </w:p>
    <w:p w:rsidR="00074054" w:rsidRDefault="00D61DE8" w:rsidP="00AE42DE">
      <w:r>
        <w:t xml:space="preserve">A complete listing of all tribes, their affinity, military capability and economic resources values are located </w:t>
      </w:r>
      <w:r w:rsidR="005B0F35">
        <w:t xml:space="preserve">on my </w:t>
      </w:r>
      <w:proofErr w:type="spellStart"/>
      <w:r w:rsidR="005B0F35">
        <w:t>github</w:t>
      </w:r>
      <w:proofErr w:type="spellEnd"/>
      <w:r w:rsidR="005B0F35">
        <w:t xml:space="preserve"> page at </w:t>
      </w:r>
      <w:hyperlink r:id="rId9" w:history="1">
        <w:r w:rsidR="005B0F35" w:rsidRPr="00BD3E0D">
          <w:rPr>
            <w:rStyle w:val="Hyperlink"/>
          </w:rPr>
          <w:t>https://github.com/tpike3/Libya-CoalitionFormation</w:t>
        </w:r>
      </w:hyperlink>
      <w:proofErr w:type="gramStart"/>
      <w:r>
        <w:t xml:space="preserve">.  </w:t>
      </w:r>
      <w:proofErr w:type="gramEnd"/>
      <w:r>
        <w:t xml:space="preserve">Due to the challenges of data these assessments can be subject to intense discussion. </w:t>
      </w:r>
      <w:r w:rsidR="00074054">
        <w:t xml:space="preserve">This then becomes the critical point, </w:t>
      </w:r>
      <w:r>
        <w:t xml:space="preserve">analysts </w:t>
      </w:r>
      <w:r w:rsidR="005B0F35">
        <w:t xml:space="preserve">regularly </w:t>
      </w:r>
      <w:r>
        <w:t xml:space="preserve">must make such assessments in data sparse environments. These assessments are an immense challenge and the focus of much analytic effort. </w:t>
      </w:r>
      <w:r w:rsidR="00074054">
        <w:t xml:space="preserve">Computational tools, </w:t>
      </w:r>
      <w:proofErr w:type="gramStart"/>
      <w:r w:rsidR="00074054">
        <w:t>however,  can</w:t>
      </w:r>
      <w:proofErr w:type="gramEnd"/>
      <w:r w:rsidR="00074054">
        <w:t xml:space="preserve"> then help analysts test and explore their assessments.</w:t>
      </w:r>
    </w:p>
    <w:p w:rsidR="009712EB" w:rsidRDefault="00074054" w:rsidP="00EC6C92">
      <w:pPr>
        <w:pStyle w:val="Heading2"/>
      </w:pPr>
      <w:r>
        <w:t>Computational Model</w:t>
      </w:r>
    </w:p>
    <w:p w:rsidR="00880376" w:rsidRDefault="00880376" w:rsidP="00880376">
      <w:r>
        <w:t>The computational model has five steps</w:t>
      </w:r>
      <w:r w:rsidR="00AC2FDF">
        <w:t xml:space="preserve"> (as shown </w:t>
      </w:r>
      <w:r w:rsidR="005B0F35">
        <w:t xml:space="preserve">in </w:t>
      </w:r>
      <w:r w:rsidR="00AC2FDF">
        <w:t>Figure 2)</w:t>
      </w:r>
      <w:r>
        <w:t xml:space="preserve">. </w:t>
      </w:r>
    </w:p>
    <w:p w:rsidR="006D44FE" w:rsidRDefault="006D44FE" w:rsidP="006D44FE">
      <w:pPr>
        <w:pStyle w:val="Heading3"/>
      </w:pPr>
      <w:r>
        <w:t>Agent Instantiation</w:t>
      </w:r>
    </w:p>
    <w:p w:rsidR="006D44FE" w:rsidRDefault="006D44FE" w:rsidP="006D44FE">
      <w:r>
        <w:t xml:space="preserve">The first step reads each group from a file and instantiates them as an agent object with the preference and power attributes. Each affinity value is normalized over the range of inputs and stored as the </w:t>
      </w:r>
      <w:proofErr w:type="gramStart"/>
      <w:r>
        <w:t>agents</w:t>
      </w:r>
      <w:proofErr w:type="gramEnd"/>
      <w:r>
        <w:t xml:space="preserve"> original preference value. The military capability and economic resource value </w:t>
      </w:r>
      <w:proofErr w:type="gramStart"/>
      <w:r>
        <w:t>are normalized</w:t>
      </w:r>
      <w:proofErr w:type="gramEnd"/>
      <w:r>
        <w:t xml:space="preserve"> over the range of inputs and then averaged together to form the power value. </w:t>
      </w:r>
    </w:p>
    <w:p w:rsidR="00CA7CA1" w:rsidRDefault="00CA7CA1" w:rsidP="00CA7CA1">
      <w:pPr>
        <w:pStyle w:val="Heading3"/>
      </w:pPr>
      <w:r>
        <w:t xml:space="preserve">Coalition Formation </w:t>
      </w:r>
    </w:p>
    <w:p w:rsidR="00CA7CA1" w:rsidRDefault="00CA7CA1" w:rsidP="00CA7CA1">
      <w:r>
        <w:t>Step two of the model is to form coalitions. To do this each agent</w:t>
      </w:r>
      <w:r w:rsidR="005B0F35">
        <w:t xml:space="preserve"> (A, B)</w:t>
      </w:r>
      <w:r>
        <w:t xml:space="preserve"> determines the expected utility of forming an alliance with every other agent. The expected utility </w:t>
      </w:r>
      <w:proofErr w:type="gramStart"/>
      <w:r>
        <w:t>is calculated</w:t>
      </w:r>
      <w:proofErr w:type="gramEnd"/>
      <w:r>
        <w:t xml:space="preserve">: </w:t>
      </w:r>
    </w:p>
    <w:p w:rsidR="00CA7CA1" w:rsidRPr="00604B0A" w:rsidRDefault="00CA7CA1" w:rsidP="00CA7CA1">
      <w:pPr>
        <w:spacing w:after="0" w:line="480" w:lineRule="auto"/>
        <w:jc w:val="left"/>
      </w:pPr>
      <w:r>
        <w:tab/>
      </w:r>
      <w:r>
        <w:tab/>
      </w:r>
      <w:r>
        <w:tab/>
      </w:r>
      <w:r>
        <w:tab/>
      </w:r>
      <w:r>
        <w:tab/>
      </w: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 (A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e>
        </m:d>
        <m:r>
          <w:rPr>
            <w:rFonts w:ascii="Cambria Math" w:hAnsi="Cambria Math"/>
          </w:rPr>
          <m:t>)</m:t>
        </m:r>
      </m:oMath>
      <w:r>
        <w:tab/>
      </w:r>
      <w:r>
        <w:tab/>
      </w:r>
      <w:r>
        <w:tab/>
      </w:r>
      <w:r>
        <w:tab/>
        <w:t>(1)</w:t>
      </w:r>
    </w:p>
    <w:p w:rsidR="00880376" w:rsidRDefault="00880376" w:rsidP="00880376">
      <w:r>
        <w:t>Where ε is the marginal effectiveness parameter and v(AB) is the expected utility of the relationship (</w:t>
      </w:r>
      <w:proofErr w:type="spellStart"/>
      <w:r>
        <w:t>Abdollahian</w:t>
      </w:r>
      <w:proofErr w:type="spellEnd"/>
      <w:r>
        <w:t xml:space="preserve">, </w:t>
      </w:r>
      <w:proofErr w:type="spellStart"/>
      <w:r>
        <w:t>Zinig</w:t>
      </w:r>
      <w:proofErr w:type="spellEnd"/>
      <w:r>
        <w:t xml:space="preserve">, and Nelson 2013). The expected utility </w:t>
      </w:r>
      <w:proofErr w:type="gramStart"/>
      <w:r>
        <w:t>is then used</w:t>
      </w:r>
      <w:proofErr w:type="gramEnd"/>
      <w:r>
        <w:t xml:space="preserve"> to calculate the bilateral Shapley value using</w:t>
      </w:r>
      <w:r w:rsidR="00C43C79">
        <w:t xml:space="preserve"> the following equation: </w:t>
      </w:r>
      <w:r>
        <w:t xml:space="preserve"> </w:t>
      </w:r>
    </w:p>
    <w:p w:rsidR="00C43C79" w:rsidRDefault="00ED32F9" w:rsidP="00ED32F9">
      <w:pPr>
        <w:spacing w:after="0" w:line="480" w:lineRule="auto"/>
        <w:jc w:val="left"/>
      </w:pPr>
      <w:r>
        <w:tab/>
      </w:r>
      <w:r>
        <w:tab/>
      </w:r>
      <w:r>
        <w:tab/>
      </w:r>
      <w:r>
        <w:tab/>
      </w:r>
      <w:r>
        <w:tab/>
      </w:r>
      <w:r>
        <w:tab/>
      </w:r>
      <w:r>
        <w:tab/>
      </w:r>
      <m:oMath>
        <m:r>
          <w:rPr>
            <w:rFonts w:ascii="Cambria Math" w:hAnsi="Cambria Math"/>
          </w:rPr>
          <m:t>BSV</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oMath>
      <w:r w:rsidR="00C43C79">
        <w:t>)</w:t>
      </w:r>
      <w:r>
        <w:tab/>
      </w:r>
      <w:r>
        <w:tab/>
      </w:r>
      <w:r>
        <w:tab/>
      </w:r>
      <w:r>
        <w:tab/>
      </w:r>
      <w:r>
        <w:tab/>
      </w:r>
      <w:r>
        <w:tab/>
      </w:r>
      <w:r>
        <w:tab/>
      </w:r>
      <w:r>
        <w:tab/>
        <w:t>(2)</w:t>
      </w:r>
    </w:p>
    <w:p w:rsidR="00C43C79" w:rsidRDefault="00880376" w:rsidP="00880376">
      <w:r>
        <w:t xml:space="preserve">Where </w:t>
      </w:r>
      <w:proofErr w:type="spellStart"/>
      <w:r>
        <w:t>BSV</w:t>
      </w:r>
      <w:proofErr w:type="spellEnd"/>
      <w:r>
        <w:t xml:space="preserve">(A) is the bilateral Shapley value for </w:t>
      </w:r>
      <w:r w:rsidR="00C43C79">
        <w:t>agent</w:t>
      </w:r>
      <w:r w:rsidR="005B0F35">
        <w:t xml:space="preserve"> A</w:t>
      </w:r>
      <w:r>
        <w:t xml:space="preserve">. If the </w:t>
      </w:r>
      <w:proofErr w:type="spellStart"/>
      <w:r>
        <w:t>BSV</w:t>
      </w:r>
      <w:proofErr w:type="spellEnd"/>
      <w:r>
        <w:t xml:space="preserve"> for both </w:t>
      </w:r>
      <w:r w:rsidR="005B0F35">
        <w:t>agents</w:t>
      </w:r>
      <w:r>
        <w:t xml:space="preserve"> is higher than their own power value then the </w:t>
      </w:r>
      <w:proofErr w:type="spellStart"/>
      <w:r>
        <w:t>BSV</w:t>
      </w:r>
      <w:proofErr w:type="spellEnd"/>
      <w:r>
        <w:t xml:space="preserve"> </w:t>
      </w:r>
      <w:proofErr w:type="gramStart"/>
      <w:r>
        <w:t>is stored</w:t>
      </w:r>
      <w:proofErr w:type="gramEnd"/>
      <w:r>
        <w:t xml:space="preserve"> as a potential coalition. After all potential coalitions </w:t>
      </w:r>
      <w:proofErr w:type="gramStart"/>
      <w:r>
        <w:t>are assessed</w:t>
      </w:r>
      <w:proofErr w:type="gramEnd"/>
      <w:r>
        <w:t xml:space="preserve"> then each agent is paired with the best poss</w:t>
      </w:r>
      <w:r w:rsidR="00C43C79">
        <w:t xml:space="preserve">ible coalition and a new agent </w:t>
      </w:r>
      <w:r>
        <w:t>is formed (</w:t>
      </w:r>
      <w:proofErr w:type="spellStart"/>
      <w:r>
        <w:t>Ketchpel</w:t>
      </w:r>
      <w:proofErr w:type="spellEnd"/>
      <w:r>
        <w:t xml:space="preserve"> 1995).</w:t>
      </w:r>
    </w:p>
    <w:p w:rsidR="0001506B" w:rsidRDefault="0001506B" w:rsidP="00880376"/>
    <w:p w:rsidR="00E5163C" w:rsidRDefault="00E5163C" w:rsidP="00880376">
      <w:r>
        <w:rPr>
          <w:noProof/>
          <w:snapToGrid/>
        </w:rPr>
        <w:lastRenderedPageBreak/>
        <w:drawing>
          <wp:inline distT="0" distB="0" distL="0" distR="0" wp14:anchorId="48DE4D2A" wp14:editId="13430E71">
            <wp:extent cx="5825098" cy="4714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ateralShapleyFlow.png"/>
                    <pic:cNvPicPr/>
                  </pic:nvPicPr>
                  <pic:blipFill>
                    <a:blip r:embed="rId10"/>
                    <a:stretch>
                      <a:fillRect/>
                    </a:stretch>
                  </pic:blipFill>
                  <pic:spPr>
                    <a:xfrm>
                      <a:off x="0" y="0"/>
                      <a:ext cx="5825098" cy="4714240"/>
                    </a:xfrm>
                    <a:prstGeom prst="rect">
                      <a:avLst/>
                    </a:prstGeom>
                  </pic:spPr>
                </pic:pic>
              </a:graphicData>
            </a:graphic>
          </wp:inline>
        </w:drawing>
      </w:r>
    </w:p>
    <w:p w:rsidR="00E5163C" w:rsidRDefault="00E5163C" w:rsidP="00E5163C">
      <w:pPr>
        <w:spacing w:before="120" w:after="240"/>
        <w:jc w:val="center"/>
      </w:pPr>
      <w:r>
        <w:t xml:space="preserve">Figure 2: Flow Diagram of Computational Model </w:t>
      </w:r>
    </w:p>
    <w:p w:rsidR="00C43C79" w:rsidRDefault="00C43C79" w:rsidP="00C43C79">
      <w:pPr>
        <w:pStyle w:val="Heading3"/>
      </w:pPr>
      <w:r>
        <w:t>New Agent Formation</w:t>
      </w:r>
    </w:p>
    <w:p w:rsidR="00880376" w:rsidRDefault="00880376" w:rsidP="00880376">
      <w:r>
        <w:t xml:space="preserve">Step three forms a new agent </w:t>
      </w:r>
      <w:r w:rsidR="00C43C79">
        <w:t>based on the pairwise coalition formation</w:t>
      </w:r>
      <w:r>
        <w:t xml:space="preserve">. </w:t>
      </w:r>
      <w:r w:rsidR="00C43C79">
        <w:t xml:space="preserve">This requires calculating the </w:t>
      </w:r>
      <w:r w:rsidR="00D42162">
        <w:t xml:space="preserve">new </w:t>
      </w:r>
      <w:r w:rsidR="00C43C79">
        <w:t>agent</w:t>
      </w:r>
      <w:r w:rsidR="00D42162">
        <w:t>s</w:t>
      </w:r>
      <w:r w:rsidR="00C43C79">
        <w:t xml:space="preserve"> power and preference attributes. </w:t>
      </w:r>
      <w:r>
        <w:t xml:space="preserve">The new agent </w:t>
      </w:r>
      <w:r w:rsidR="00C43C79">
        <w:t>preference</w:t>
      </w:r>
      <w:r>
        <w:t xml:space="preserve"> </w:t>
      </w:r>
      <w:proofErr w:type="gramStart"/>
      <w:r>
        <w:t>is calculated</w:t>
      </w:r>
      <w:proofErr w:type="gramEnd"/>
      <w:r w:rsidR="00C43C79">
        <w:t xml:space="preserve">: </w:t>
      </w:r>
    </w:p>
    <w:p w:rsidR="003C245F" w:rsidRPr="00ED32F9" w:rsidRDefault="00ED32F9" w:rsidP="00ED32F9">
      <w:pPr>
        <w:spacing w:after="0" w:line="480" w:lineRule="auto"/>
        <w:jc w:val="left"/>
      </w:pP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preference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num>
          <m:den>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den>
        </m:f>
      </m:oMath>
      <w:r>
        <w:tab/>
      </w:r>
      <w:r>
        <w:tab/>
      </w:r>
      <w:r>
        <w:tab/>
      </w:r>
      <w:r>
        <w:tab/>
      </w:r>
      <w:r>
        <w:tab/>
      </w:r>
      <w:r>
        <w:tab/>
      </w:r>
      <w:r>
        <w:tab/>
        <w:t>(3)</w:t>
      </w:r>
    </w:p>
    <w:p w:rsidR="00ED32F9" w:rsidRDefault="00880376" w:rsidP="00ED32F9">
      <w:pPr>
        <w:jc w:val="left"/>
      </w:pPr>
      <w:r>
        <w:t>Where C is the new agent which has formed (</w:t>
      </w:r>
      <w:proofErr w:type="spellStart"/>
      <w:r>
        <w:t>Abdollahian</w:t>
      </w:r>
      <w:proofErr w:type="spellEnd"/>
      <w:r>
        <w:t xml:space="preserve">, </w:t>
      </w:r>
      <w:proofErr w:type="spellStart"/>
      <w:r>
        <w:t>Zinig</w:t>
      </w:r>
      <w:proofErr w:type="spellEnd"/>
      <w:r>
        <w:t xml:space="preserve">, and Nelson 2013). </w:t>
      </w:r>
      <w:r w:rsidR="005B0F35">
        <w:t>J</w:t>
      </w:r>
      <w:r w:rsidR="00BF6915">
        <w:t>oining a</w:t>
      </w:r>
      <w:r>
        <w:t xml:space="preserve"> coalition influences the </w:t>
      </w:r>
      <w:r w:rsidR="00834AA7">
        <w:t>preference</w:t>
      </w:r>
      <w:r>
        <w:t xml:space="preserve"> value of its component parts </w:t>
      </w:r>
      <w:r w:rsidR="00834AA7">
        <w:t>based on the compromise parameter set in step one</w:t>
      </w:r>
      <w:r>
        <w:t xml:space="preserve">. </w:t>
      </w:r>
      <w:r w:rsidR="00834AA7">
        <w:t xml:space="preserve">The preference of the </w:t>
      </w:r>
      <w:proofErr w:type="gramStart"/>
      <w:r w:rsidR="00834AA7">
        <w:t>agents</w:t>
      </w:r>
      <w:proofErr w:type="gramEnd"/>
      <w:r w:rsidR="00834AA7">
        <w:t xml:space="preserve"> component agents </w:t>
      </w:r>
      <w:r w:rsidR="00E4560F">
        <w:t>is updated by:</w:t>
      </w:r>
      <w:r>
        <w:t xml:space="preserve"> </w:t>
      </w:r>
    </w:p>
    <w:p w:rsidR="00E4560F" w:rsidRPr="00ED32F9" w:rsidRDefault="00ED32F9" w:rsidP="00ED32F9">
      <w:pPr>
        <w:jc w:val="left"/>
      </w:pPr>
      <w:r>
        <w:tab/>
      </w:r>
      <w:r>
        <w:tab/>
      </w:r>
      <w:r>
        <w:tab/>
      </w:r>
      <w:r>
        <w:tab/>
      </w:r>
      <w:r>
        <w:tab/>
      </w:r>
      <m:oMath>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+(C</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 xml:space="preserve">* γ) </m:t>
        </m:r>
      </m:oMath>
      <w:r>
        <w:tab/>
      </w:r>
      <w:r>
        <w:tab/>
      </w:r>
      <w:r>
        <w:tab/>
      </w:r>
      <w:r>
        <w:tab/>
      </w:r>
      <w:r>
        <w:tab/>
        <w:t>(4)</w:t>
      </w:r>
    </w:p>
    <w:p w:rsidR="00ED32F9" w:rsidRDefault="00880376" w:rsidP="00ED32F9">
      <w:r>
        <w:t xml:space="preserve">Where γ is the inputted compromise parameter determining how much of an affect the new coalition has the group’s affinity </w:t>
      </w:r>
      <w:proofErr w:type="gramStart"/>
      <w:r>
        <w:t>values .</w:t>
      </w:r>
      <w:proofErr w:type="gramEnd"/>
      <w:r>
        <w:t xml:space="preserve"> The new power of this group is</w:t>
      </w:r>
      <w:r w:rsidR="00ED32F9">
        <w:t>:</w:t>
      </w:r>
    </w:p>
    <w:p w:rsidR="00BF6915" w:rsidRPr="00ED32F9" w:rsidRDefault="00ED32F9" w:rsidP="00ED32F9">
      <w:r>
        <w:tab/>
      </w:r>
      <w:r>
        <w:tab/>
      </w:r>
      <w:r>
        <w:tab/>
      </w: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power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m:t>
        </m:r>
      </m:oMath>
      <w:r>
        <w:tab/>
      </w:r>
      <w:r>
        <w:tab/>
      </w:r>
      <w:r>
        <w:tab/>
      </w:r>
      <w:r>
        <w:tab/>
      </w:r>
      <w:r>
        <w:tab/>
      </w:r>
      <w:r>
        <w:tab/>
      </w:r>
      <w:r>
        <w:tab/>
      </w:r>
      <w:r>
        <w:tab/>
        <w:t>(5)</w:t>
      </w:r>
    </w:p>
    <w:p w:rsidR="00880376" w:rsidRDefault="00880376" w:rsidP="00880376">
      <w:r>
        <w:t xml:space="preserve">Where C represents the new agent’s power and ε represents the marginal effectiveness parameter placed in the model. After the new </w:t>
      </w:r>
      <w:proofErr w:type="gramStart"/>
      <w:r>
        <w:t>agents</w:t>
      </w:r>
      <w:proofErr w:type="gramEnd"/>
      <w:r>
        <w:t xml:space="preserve"> form, steps two and three repeat themselves until no new coalitions are formed. </w:t>
      </w:r>
    </w:p>
    <w:p w:rsidR="00ED32F9" w:rsidRDefault="00ED32F9" w:rsidP="00ED32F9">
      <w:pPr>
        <w:pStyle w:val="Heading3"/>
      </w:pPr>
      <w:r>
        <w:lastRenderedPageBreak/>
        <w:t>Check Coalition</w:t>
      </w:r>
    </w:p>
    <w:p w:rsidR="00880376" w:rsidRDefault="00ED32F9" w:rsidP="00880376">
      <w:r>
        <w:t>In</w:t>
      </w:r>
      <w:r w:rsidR="00880376">
        <w:t xml:space="preserve"> step four each group in the coalition assesses whether they should remain</w:t>
      </w:r>
      <w:r>
        <w:t xml:space="preserve"> based on the coalition agent’s changing preference and power values as it formed coalitions with more agents</w:t>
      </w:r>
      <w:r w:rsidR="00880376">
        <w:t xml:space="preserve">. Each </w:t>
      </w:r>
      <w:r>
        <w:t>agent in the coalition</w:t>
      </w:r>
      <w:r w:rsidR="00880376">
        <w:t xml:space="preserve"> and the coalition </w:t>
      </w:r>
      <w:r>
        <w:t xml:space="preserve">as an agent </w:t>
      </w:r>
      <w:r w:rsidR="00880376">
        <w:t xml:space="preserve">computes their </w:t>
      </w:r>
      <w:r>
        <w:t>expected utility (1)</w:t>
      </w:r>
      <w:r w:rsidR="005B0F35">
        <w:t xml:space="preserve"> and</w:t>
      </w:r>
      <w:r w:rsidR="00880376">
        <w:t xml:space="preserve"> their respective </w:t>
      </w:r>
      <w:proofErr w:type="spellStart"/>
      <w:r w:rsidR="00511E3F">
        <w:t>BSV</w:t>
      </w:r>
      <w:proofErr w:type="spellEnd"/>
      <w:r>
        <w:t xml:space="preserve"> (2)</w:t>
      </w:r>
      <w:r w:rsidR="00880376">
        <w:t xml:space="preserve">. If the </w:t>
      </w:r>
      <w:proofErr w:type="spellStart"/>
      <w:r w:rsidR="00880376">
        <w:t>BSV</w:t>
      </w:r>
      <w:proofErr w:type="spellEnd"/>
      <w:r w:rsidR="00880376">
        <w:t xml:space="preserve"> for the group is higher in the coalition than without it then the group remains. Otherwise, the group removes itself from the coalition and two new agents </w:t>
      </w:r>
      <w:proofErr w:type="gramStart"/>
      <w:r w:rsidR="00880376">
        <w:t>are formed</w:t>
      </w:r>
      <w:proofErr w:type="gramEnd"/>
      <w:r w:rsidR="00880376">
        <w:t>. The coalition without the group and the group as a</w:t>
      </w:r>
      <w:r w:rsidR="00450B76">
        <w:t>n</w:t>
      </w:r>
      <w:r w:rsidR="00880376">
        <w:t xml:space="preserve"> agent. </w:t>
      </w:r>
      <w:r w:rsidR="00511E3F">
        <w:t>The preference and power of the coalition agent is recalculated</w:t>
      </w:r>
      <w:r w:rsidR="00450B76">
        <w:t xml:space="preserve"> using equations</w:t>
      </w:r>
      <w:r w:rsidR="00511E3F">
        <w:t xml:space="preserve"> (3) </w:t>
      </w:r>
      <w:r w:rsidR="00450B76">
        <w:t xml:space="preserve">and </w:t>
      </w:r>
      <w:r w:rsidR="00511E3F">
        <w:t>(5), while the power of the departing agent reverts to the original input</w:t>
      </w:r>
      <w:proofErr w:type="gramStart"/>
      <w:r w:rsidR="00511E3F">
        <w:t xml:space="preserve">.  </w:t>
      </w:r>
      <w:proofErr w:type="gramEnd"/>
      <w:r w:rsidR="002242FA">
        <w:t>The preference of the departing agent is not recalculated as civil conflict has shown that impact on ideologies continues to remain even after the conflict has concluded</w:t>
      </w:r>
      <w:r w:rsidR="00263534">
        <w:t xml:space="preserve"> </w:t>
      </w:r>
      <w:r w:rsidR="00263534">
        <w:fldChar w:fldCharType="begin" w:fldLock="1"/>
      </w:r>
      <w:r w:rsidR="00263534">
        <w:instrText>ADDIN CSL_CITATION { "citationItems" : [ { "id" : "ITEM-1", "itemData" : { "author" : [ { "dropping-particle" : "", "family" : "Malamud-Goti", "given" : "Jaime", "non-dropping-particle" : "", "parse-names" : false, "suffix" : "" } ], "id" : "ITEM-1", "issued" : { "date-parts" : [ [ "1996" ] ] }, "publisher" : "Oklahoma University Press", "publisher-place" : "Norman, Oklahoma", "title" : "Game Without End: State Terror and the Politics of Justice", "type" : "book" }, "uris" : [ "http://www.mendeley.com/documents/?uuid=685badba-4e7b-41ce-a8d3-40d0a73f865f" ] } ], "mendeley" : { "formattedCitation" : "(Malamud-Goti 1996)", "plainTextFormattedCitation" : "(Malamud-Goti 1996)", "previouslyFormattedCitation" : "(Malamud-Goti 1996)" }, "properties" : { "noteIndex" : 7 }, "schema" : "https://github.com/citation-style-language/schema/raw/master/csl-citation.json" }</w:instrText>
      </w:r>
      <w:r w:rsidR="00263534">
        <w:fldChar w:fldCharType="separate"/>
      </w:r>
      <w:r w:rsidR="00263534" w:rsidRPr="00263534">
        <w:rPr>
          <w:noProof/>
        </w:rPr>
        <w:t>(Malamud-Goti 1996)</w:t>
      </w:r>
      <w:r w:rsidR="00263534">
        <w:fldChar w:fldCharType="end"/>
      </w:r>
      <w:r w:rsidR="00263534">
        <w:t>.</w:t>
      </w:r>
    </w:p>
    <w:p w:rsidR="00511E3F" w:rsidRDefault="00511E3F" w:rsidP="00511E3F">
      <w:pPr>
        <w:pStyle w:val="Heading3"/>
      </w:pPr>
      <w:r>
        <w:t>Output</w:t>
      </w:r>
    </w:p>
    <w:p w:rsidR="00511E3F" w:rsidRDefault="00511E3F" w:rsidP="00511E3F">
      <w:r>
        <w:t xml:space="preserve">After this final step the model then saves a csv file with all the coalition agents, their power and preference values </w:t>
      </w:r>
      <w:r w:rsidR="00263534">
        <w:t xml:space="preserve">as well as </w:t>
      </w:r>
      <w:r>
        <w:t xml:space="preserve">the agents within these coalitions </w:t>
      </w:r>
      <w:r w:rsidR="00263534">
        <w:t xml:space="preserve">with </w:t>
      </w:r>
      <w:r>
        <w:t xml:space="preserve">their updated preference and values. </w:t>
      </w:r>
      <w:r w:rsidR="0023301C">
        <w:t>The code</w:t>
      </w:r>
      <w:r w:rsidR="00450B76">
        <w:t>, plus results</w:t>
      </w:r>
      <w:r w:rsidR="0023301C">
        <w:t xml:space="preserve"> is available on my </w:t>
      </w:r>
      <w:proofErr w:type="spellStart"/>
      <w:r w:rsidR="0023301C">
        <w:t>github</w:t>
      </w:r>
      <w:proofErr w:type="spellEnd"/>
      <w:r w:rsidR="0023301C">
        <w:t xml:space="preserve"> page at </w:t>
      </w:r>
      <w:hyperlink r:id="rId11" w:history="1">
        <w:r w:rsidR="00444E47" w:rsidRPr="00EB587B">
          <w:rPr>
            <w:rStyle w:val="Hyperlink"/>
          </w:rPr>
          <w:t>https://github.com/tpike3/Libya-CoalitionFormation</w:t>
        </w:r>
      </w:hyperlink>
      <w:r w:rsidR="0023301C">
        <w:t>.</w:t>
      </w:r>
    </w:p>
    <w:p w:rsidR="00511E3F" w:rsidRDefault="00511E3F" w:rsidP="00511E3F">
      <w:pPr>
        <w:pStyle w:val="Heading1"/>
      </w:pPr>
      <w:r>
        <w:t>VERIFICATION</w:t>
      </w:r>
    </w:p>
    <w:p w:rsidR="00511E3F" w:rsidRDefault="00511E3F" w:rsidP="00511E3F">
      <w:r>
        <w:t xml:space="preserve">To ensure the model was running as programmed I performed two verification procedures. First, </w:t>
      </w:r>
      <w:r w:rsidR="0026667E">
        <w:t>I tested</w:t>
      </w:r>
      <w:r>
        <w:t xml:space="preserve"> each function as it was </w:t>
      </w:r>
      <w:proofErr w:type="gramStart"/>
      <w:r>
        <w:t>being built</w:t>
      </w:r>
      <w:proofErr w:type="gramEnd"/>
      <w:r>
        <w:t xml:space="preserve"> to ensure it behaved as expected</w:t>
      </w:r>
      <w:r w:rsidR="00263D84">
        <w:t xml:space="preserve"> and did not produce any errors. Second, I inputted parameter</w:t>
      </w:r>
      <w:r w:rsidR="00416E6E">
        <w:t>s</w:t>
      </w:r>
      <w:r w:rsidR="00263D84">
        <w:t xml:space="preserve"> which would produce known results. Th</w:t>
      </w:r>
      <w:r w:rsidR="00416E6E">
        <w:t>i</w:t>
      </w:r>
      <w:r w:rsidR="00263D84">
        <w:t xml:space="preserve">s included inputting a marginal effectiveness parameter of 1.0 and below. As expected, no agent formed a coalition with any other agent since there was no benefit. Similarly, I inputted a marginal effectiveness parameter above </w:t>
      </w:r>
      <w:r w:rsidR="00450B76">
        <w:t>2</w:t>
      </w:r>
      <w:r w:rsidR="00263D84">
        <w:t xml:space="preserve">.0. The expected result </w:t>
      </w:r>
      <w:r w:rsidR="00416E6E">
        <w:t>f</w:t>
      </w:r>
      <w:r w:rsidR="00450B76">
        <w:t>r</w:t>
      </w:r>
      <w:r w:rsidR="00416E6E">
        <w:t xml:space="preserve">om this input </w:t>
      </w:r>
      <w:r w:rsidR="00263D84">
        <w:t>was</w:t>
      </w:r>
      <w:r w:rsidR="00416E6E">
        <w:t xml:space="preserve"> the formation</w:t>
      </w:r>
      <w:r w:rsidR="00263D84">
        <w:t xml:space="preserve"> of a grand coalition which contained all agents </w:t>
      </w:r>
      <w:r w:rsidR="00263D84">
        <w:fldChar w:fldCharType="begin" w:fldLock="1"/>
      </w:r>
      <w:r w:rsidR="00263D84">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7 }, "schema" : "https://github.com/citation-style-language/schema/raw/master/csl-citation.json" }</w:instrText>
      </w:r>
      <w:r w:rsidR="00263D84">
        <w:fldChar w:fldCharType="separate"/>
      </w:r>
      <w:r w:rsidR="00263D84" w:rsidRPr="00263D84">
        <w:rPr>
          <w:noProof/>
        </w:rPr>
        <w:t>(Yoav and Leyton-Brown 2009)</w:t>
      </w:r>
      <w:r w:rsidR="00263D84">
        <w:fldChar w:fldCharType="end"/>
      </w:r>
      <w:r w:rsidR="00263D84">
        <w:t>, and this result was produced.</w:t>
      </w:r>
    </w:p>
    <w:p w:rsidR="00263D84" w:rsidRDefault="00263D84" w:rsidP="00511E3F">
      <w:r>
        <w:t xml:space="preserve">I also tested the compromise parameter. If the compromise parameter was 1.0, the agents should all adopt the preference of the coalition agent and no agent should defect from the coalition. In addition, if the compromise parameter is 0.0 then no agent should alter their preference and there would be defections. For both values the expected results occurred. </w:t>
      </w:r>
    </w:p>
    <w:p w:rsidR="00263D84" w:rsidRPr="00511E3F" w:rsidRDefault="00263D84" w:rsidP="00511E3F">
      <w:r>
        <w:t xml:space="preserve">To </w:t>
      </w:r>
      <w:r w:rsidR="00B81C9E">
        <w:t xml:space="preserve">test the </w:t>
      </w:r>
      <w:r>
        <w:t xml:space="preserve">robustness </w:t>
      </w:r>
      <w:r w:rsidR="00B81C9E">
        <w:t>of</w:t>
      </w:r>
      <w:r>
        <w:t xml:space="preserve"> these verification results I also </w:t>
      </w:r>
      <w:r w:rsidR="00B81C9E">
        <w:t>conducted these tests using generic data over uniform and power law distributions. In each case the expected result was produced</w:t>
      </w:r>
      <w:proofErr w:type="gramStart"/>
      <w:r w:rsidR="00B81C9E">
        <w:t xml:space="preserve">.  </w:t>
      </w:r>
      <w:proofErr w:type="gramEnd"/>
      <w:r>
        <w:t xml:space="preserve">  </w:t>
      </w:r>
    </w:p>
    <w:p w:rsidR="00B81C9E" w:rsidRDefault="00B81C9E" w:rsidP="00B81C9E">
      <w:pPr>
        <w:pStyle w:val="Heading1"/>
      </w:pPr>
      <w:r>
        <w:t>Results</w:t>
      </w:r>
    </w:p>
    <w:p w:rsidR="00F6099F" w:rsidRPr="00F6099F" w:rsidRDefault="00F6099F" w:rsidP="00F6099F">
      <w:r>
        <w:t xml:space="preserve">The model </w:t>
      </w:r>
      <w:proofErr w:type="gramStart"/>
      <w:r>
        <w:t>was run</w:t>
      </w:r>
      <w:proofErr w:type="gramEnd"/>
      <w:r>
        <w:t xml:space="preserve"> for 450 iterations. 150 runs over varying parameters for three different foreign policy options, (1) no support or intervention, (2) massive support to one nationalist group, (3) support to three groups, nationalist, nationalist-fundamentalist, and fundamentalist</w:t>
      </w:r>
      <w:proofErr w:type="gramStart"/>
      <w:r>
        <w:t xml:space="preserve">.  </w:t>
      </w:r>
      <w:proofErr w:type="gramEnd"/>
      <w:r>
        <w:t xml:space="preserve">Each of these three policy options </w:t>
      </w:r>
      <w:proofErr w:type="gramStart"/>
      <w:r>
        <w:t>was run</w:t>
      </w:r>
      <w:proofErr w:type="gramEnd"/>
      <w:r>
        <w:t xml:space="preserve"> over the range of parameter inputs.</w:t>
      </w:r>
    </w:p>
    <w:p w:rsidR="007F74A9" w:rsidRDefault="007F74A9" w:rsidP="007F74A9">
      <w:pPr>
        <w:pStyle w:val="Heading2"/>
      </w:pPr>
      <w:r>
        <w:t>Impact</w:t>
      </w:r>
      <w:r w:rsidR="00C91465">
        <w:t xml:space="preserve"> </w:t>
      </w:r>
      <w:r>
        <w:t>of Parameter Variation</w:t>
      </w:r>
    </w:p>
    <w:p w:rsidR="00CC648D" w:rsidRDefault="007F74A9" w:rsidP="00B81C9E">
      <w:r>
        <w:t>The compromise parameter, which determines how far agents will alter their preferences when an agent joins a new coalition</w:t>
      </w:r>
      <w:r w:rsidR="00F3399D">
        <w:t>,</w:t>
      </w:r>
      <w:r>
        <w:t xml:space="preserve"> </w:t>
      </w:r>
      <w:r w:rsidR="00416E6E">
        <w:t>consisted of 10 values ranging from 0.1 to 1.0</w:t>
      </w:r>
      <w:r>
        <w:t xml:space="preserve">. The marginal effectiveness parameter, which </w:t>
      </w:r>
      <w:r w:rsidR="00C91465">
        <w:t xml:space="preserve">is the amount of additional benefit gained through forming a coalition, consisted of </w:t>
      </w:r>
      <w:r w:rsidR="00416E6E">
        <w:t>15 values ranging 1.1 to 3.0. For the marginal effectiveness parameter 14 of the inputs were between 1.1 and 2.0</w:t>
      </w:r>
      <w:r w:rsidR="00772CC3">
        <w:t xml:space="preserve"> with one input at 3.</w:t>
      </w:r>
      <w:r w:rsidR="00416E6E">
        <w:t xml:space="preserve">0 to ensure the grand </w:t>
      </w:r>
      <w:r w:rsidR="00772CC3">
        <w:t>coalition</w:t>
      </w:r>
      <w:r w:rsidR="00416E6E">
        <w:t xml:space="preserve"> was forming as expected</w:t>
      </w:r>
      <w:proofErr w:type="gramStart"/>
      <w:r w:rsidR="00416E6E">
        <w:t xml:space="preserve">.  </w:t>
      </w:r>
      <w:proofErr w:type="gramEnd"/>
    </w:p>
    <w:p w:rsidR="00C91465" w:rsidRDefault="001A3A4C" w:rsidP="00B81C9E">
      <w:r w:rsidRPr="001A3A4C">
        <w:t>The marginal effectiveness parameter ha</w:t>
      </w:r>
      <w:r w:rsidR="00CE39E5">
        <w:t>d</w:t>
      </w:r>
      <w:r w:rsidRPr="001A3A4C">
        <w:t xml:space="preserve"> the most impact over </w:t>
      </w:r>
      <w:r w:rsidR="00450B76">
        <w:t xml:space="preserve">a </w:t>
      </w:r>
      <w:r w:rsidRPr="001A3A4C">
        <w:t xml:space="preserve">small range of 1.1 to 1.6 with any compromise parameter above 0. 4.  A low compromise parameter of less than 0.3 combined with a marginal effectiveness parameter between 1.1 and 1.4 shows the greatest variability both in different numbers of </w:t>
      </w:r>
      <w:r w:rsidR="00F6099F">
        <w:lastRenderedPageBreak/>
        <w:t>agent</w:t>
      </w:r>
      <w:r w:rsidRPr="001A3A4C">
        <w:t xml:space="preserve"> formations.</w:t>
      </w:r>
      <w:r w:rsidR="00F6099F">
        <w:t xml:space="preserve"> The marginal effectiveness parameters of 1.2, 1.3, and 1.4 and compromise parameter of 0.1, 0.2, and 0.3 showed th</w:t>
      </w:r>
      <w:r w:rsidR="00450B76">
        <w:t>e most variation in the results</w:t>
      </w:r>
      <w:r w:rsidR="00F6099F">
        <w:t>.</w:t>
      </w:r>
    </w:p>
    <w:p w:rsidR="00810EC7" w:rsidRDefault="00810EC7" w:rsidP="00810EC7">
      <w:r>
        <w:t xml:space="preserve">Parameter inputs of 1.1 for marginal effectiveness and 0.1 to 0.3 showed the highest spread of groups with roughly three fringe groups who are non-allied groups on the extreme (&gt; 9.0 or &lt; 1.0) and then two to four medium sized groups spread across the rest of the spectrum. A marginal effectiveness setting of 1.2 and a compromise setting of 0.2 would result in seven fringe groups and three large groups, with a moderate affinity (0.56) as the largest (48) and most powerful (108.84). Increasing the compromise parameter to 0.3 reduced the fringe groups. The reduction of fringe groups by increasing the compromise parameter also occurred with an increase in the marginal effectiveness parameter, indicating that the effect of the compromise parameter was to bring fringe groups into larger coalition formations. </w:t>
      </w:r>
    </w:p>
    <w:p w:rsidR="00F07030" w:rsidRDefault="00F07030" w:rsidP="00F07030">
      <w:r>
        <w:t xml:space="preserve">Parameter variation also impacted the preference of the coalition majority. The increase of the marginal effectiveness parameter results in </w:t>
      </w:r>
      <w:proofErr w:type="gramStart"/>
      <w:r>
        <w:t>a majority of</w:t>
      </w:r>
      <w:proofErr w:type="gramEnd"/>
      <w:r>
        <w:t xml:space="preserve"> fundamentalists or nationalists depending on the parameter. At a 1.3 marginal effectiveness parameter, the fundamentalists have the majority and at a 1.4 marginal effectiveness parameter the nationalists have a majority. Based on </w:t>
      </w:r>
      <w:proofErr w:type="gramStart"/>
      <w:r>
        <w:t>th</w:t>
      </w:r>
      <w:r w:rsidR="00450B76">
        <w:t>e</w:t>
      </w:r>
      <w:r>
        <w:t>s</w:t>
      </w:r>
      <w:r w:rsidR="00450B76">
        <w:t>e</w:t>
      </w:r>
      <w:r>
        <w:t xml:space="preserve"> result</w:t>
      </w:r>
      <w:proofErr w:type="gramEnd"/>
      <w:r>
        <w:t xml:space="preserve"> additional run at value of 1.35 and 1.45 where conducted. The nationalist only obtained a majority at 1.4 losing it again at 1.45. By 1.5, a near grand coalition </w:t>
      </w:r>
      <w:proofErr w:type="gramStart"/>
      <w:r>
        <w:t>was reached</w:t>
      </w:r>
      <w:proofErr w:type="gramEnd"/>
      <w:r>
        <w:t xml:space="preserve"> where the ideology was centrist at a 0.56 preference and all but the fringe groups were part of the</w:t>
      </w:r>
      <w:r w:rsidR="00450B76">
        <w:t xml:space="preserve"> coalition (as shown in Figure 3</w:t>
      </w:r>
      <w:r>
        <w:t xml:space="preserve">). Runs at 1.25 and runs at 1.55 showed no significant change. </w:t>
      </w:r>
      <w:r w:rsidRPr="00F6099F">
        <w:t>These results are all under conditions of no new foreign support</w:t>
      </w:r>
      <w:r>
        <w:t xml:space="preserve">. </w:t>
      </w:r>
    </w:p>
    <w:p w:rsidR="00CA7CA1" w:rsidRDefault="00CA7CA1" w:rsidP="00CA7CA1">
      <w:pPr>
        <w:pStyle w:val="Heading2"/>
      </w:pPr>
      <w:r>
        <w:t>Impact of Foreign Support</w:t>
      </w:r>
    </w:p>
    <w:p w:rsidR="00CA7CA1" w:rsidRDefault="00CA7CA1" w:rsidP="00CA7CA1">
      <w:r>
        <w:t xml:space="preserve">The goal of this model was to gain a better understanding of how the different groups in Libya may coalesce to assess how the civil war may develop. It was also to assess how foreign intervention may affect how the groups coalesce. In addition to the no support policy option, two additional policy options </w:t>
      </w:r>
      <w:proofErr w:type="gramStart"/>
      <w:r>
        <w:t>were assessed</w:t>
      </w:r>
      <w:proofErr w:type="gramEnd"/>
      <w:r>
        <w:t xml:space="preserve">. First, substantial aid to one nationalist group </w:t>
      </w:r>
      <w:proofErr w:type="gramStart"/>
      <w:r>
        <w:t>in an effort to</w:t>
      </w:r>
      <w:proofErr w:type="gramEnd"/>
      <w:r>
        <w:t xml:space="preserve"> combat </w:t>
      </w:r>
      <w:r w:rsidR="00450B76">
        <w:t>extremism</w:t>
      </w:r>
      <w:r>
        <w:t xml:space="preserve"> </w:t>
      </w:r>
      <w:r w:rsidR="00450B76">
        <w:t xml:space="preserve">taking over </w:t>
      </w:r>
      <w:r>
        <w:t xml:space="preserve">Libya. Using Afghanistan as a rough metric, according to the world bank the Afghanistan GDP in 2011 (the peak of U.S. support) was 17.93 billion dollars. U.S. foreign aid provided was 13 billion dollars </w:t>
      </w:r>
      <w:r>
        <w:fldChar w:fldCharType="begin" w:fldLock="1"/>
      </w:r>
      <w:r>
        <w:instrText>ADDIN CSL_CITATION { "citationItems" : [ { "id" : "ITEM-1", "itemData" : { "URL" : "https://explorer.usaid.gov/cd/AFG", "accessed" : { "date-parts" : [ [ "2017", "11", "11" ] ] }, "author" : [ { "dropping-particle" : "", "family" : "USAID", "given" : "", "non-dropping-particle" : "", "parse-names" : false, "suffix" : "" } ], "id" : "ITEM-1", "issued" : { "date-parts" : [ [ "0" ] ] }, "title" : "U.S. Foreign Aid by Country", "type" : "webpage" }, "uris" : [ "http://www.mendeley.com/documents/?uuid=6da94f17-ff64-3406-99de-22d987b50cbb" ] } ], "mendeley" : { "formattedCitation" : "(USAID 2017)", "plainTextFormattedCitation" : "(USAID 2017)", "previouslyFormattedCitation" : "(USAID 2017)" }, "properties" : { "noteIndex" : 10 }, "schema" : "https://github.com/citation-style-language/schema/raw/master/csl-citation.json" }</w:instrText>
      </w:r>
      <w:r>
        <w:fldChar w:fldCharType="separate"/>
      </w:r>
      <w:r w:rsidRPr="0017277A">
        <w:rPr>
          <w:noProof/>
        </w:rPr>
        <w:t>(USAID 2017)</w:t>
      </w:r>
      <w:r>
        <w:fldChar w:fldCharType="end"/>
      </w:r>
      <w:r>
        <w:t xml:space="preserve">. This does not include military support which is harder to measure quantitatively. Based on this metric, however, </w:t>
      </w:r>
      <w:proofErr w:type="gramStart"/>
      <w:r>
        <w:t>it is clear that a</w:t>
      </w:r>
      <w:proofErr w:type="gramEnd"/>
      <w:r>
        <w:t xml:space="preserve"> substantial influx for U.S. foreign support represents a substantial amount of power investment. To replicate this overwhelming advantage. the supported group (al-</w:t>
      </w:r>
      <w:proofErr w:type="spellStart"/>
      <w:r>
        <w:t>Udbaidat</w:t>
      </w:r>
      <w:proofErr w:type="spellEnd"/>
      <w:r>
        <w:t>), the most powerful nationalist group received an economic and military boost to 99.0.</w:t>
      </w:r>
    </w:p>
    <w:p w:rsidR="00F07030" w:rsidRDefault="00F07030" w:rsidP="00F07030">
      <w:r>
        <w:t>Examining the impact of foreign support to one group</w:t>
      </w:r>
      <w:r w:rsidR="00F457DF">
        <w:t xml:space="preserve"> </w:t>
      </w:r>
      <w:r>
        <w:t>shows that the support group has less incentive to form a coalition and that more groups support a more fundamentalist coalition</w:t>
      </w:r>
      <w:r w:rsidR="00F457DF">
        <w:t xml:space="preserve">. </w:t>
      </w:r>
      <w:r w:rsidRPr="001E187B">
        <w:t xml:space="preserve">Increasing the compromise parameter continues to reduce </w:t>
      </w:r>
      <w:proofErr w:type="gramStart"/>
      <w:r w:rsidRPr="001E187B">
        <w:t>the  number</w:t>
      </w:r>
      <w:proofErr w:type="gramEnd"/>
      <w:r w:rsidRPr="001E187B">
        <w:t xml:space="preserve"> of fringe groups, while a marginal effectiveness parameter of 1.1 increases the size of the non-supported moderate large coalition (</w:t>
      </w:r>
      <w:r>
        <w:t>preference</w:t>
      </w:r>
      <w:r w:rsidRPr="001E187B">
        <w:t xml:space="preserve"> 0.54) from 37 to a coalition of 45 groups (</w:t>
      </w:r>
      <w:r>
        <w:t>preference</w:t>
      </w:r>
      <w:r w:rsidRPr="001E187B">
        <w:t xml:space="preserve"> .</w:t>
      </w:r>
      <w:r>
        <w:t>55) while the supported group (preference</w:t>
      </w:r>
      <w:r w:rsidRPr="001E187B">
        <w:t xml:space="preserve"> .33) only increases by 1 to 25 (</w:t>
      </w:r>
      <w:r>
        <w:t>preference</w:t>
      </w:r>
      <w:r w:rsidRPr="001E187B">
        <w:t xml:space="preserve"> 0.3). As the marginal effectiveness parameters increases to 1.3</w:t>
      </w:r>
      <w:r w:rsidR="00F457DF">
        <w:t>,</w:t>
      </w:r>
      <w:r w:rsidRPr="001E187B">
        <w:t xml:space="preserve"> the 0.32 </w:t>
      </w:r>
      <w:r>
        <w:t>preference</w:t>
      </w:r>
      <w:r w:rsidRPr="001E187B">
        <w:t xml:space="preserve"> coalition (supported group) goes from 30 to 49 (new affinity of 0.34), while the 0.65 affinity coalitions </w:t>
      </w:r>
      <w:proofErr w:type="gramStart"/>
      <w:r w:rsidRPr="001E187B">
        <w:t>goes</w:t>
      </w:r>
      <w:proofErr w:type="gramEnd"/>
      <w:r w:rsidRPr="001E187B">
        <w:t xml:space="preserve"> down from 87 to 67 (new affinity of 0.69).  Interestingly, the impact of foreign support at a marginal effective</w:t>
      </w:r>
      <w:r>
        <w:t>ness of 1.4 is to cause a more fundamentalist</w:t>
      </w:r>
      <w:r w:rsidRPr="001E187B">
        <w:t xml:space="preserve"> leaning affinity to gain a majority which they did not gain in the non-supported model run. The 0.49 affinity coalition (supported coalition) went from an </w:t>
      </w:r>
      <w:proofErr w:type="gramStart"/>
      <w:r w:rsidRPr="001E187B">
        <w:t>83 group</w:t>
      </w:r>
      <w:proofErr w:type="gramEnd"/>
      <w:r w:rsidRPr="001E187B">
        <w:t xml:space="preserve"> coalition to a 29 group coalition with a new affinity of (0.3) while the more </w:t>
      </w:r>
      <w:r>
        <w:t xml:space="preserve">Islamic extreme </w:t>
      </w:r>
      <w:r w:rsidRPr="001E187B">
        <w:t xml:space="preserve">affinity coalition went from a 0.81 affinity and a 37 group coalition to 0.65 affinity and a 90 group coalition. </w:t>
      </w:r>
      <w:r>
        <w:t>Support to one group caused the group to be more powerful, but also made them less willing to fo</w:t>
      </w:r>
      <w:r w:rsidR="00F457DF">
        <w:t>r</w:t>
      </w:r>
      <w:r>
        <w:t>m a coalition with other groups, which also prevented their preference form moderating.</w:t>
      </w:r>
    </w:p>
    <w:p w:rsidR="00F07030" w:rsidRDefault="00F07030" w:rsidP="00F07030">
      <w:r>
        <w:t>The impact of foreign support to three groups as a policy option, resulted in no difference than the no support option, except the specific agents who received support made their agent coalition more powerful. As the model does not account how these different power dynamics may influence the outcome, there is nothing additional to report about these results.</w:t>
      </w:r>
    </w:p>
    <w:p w:rsidR="00450B76" w:rsidRDefault="00450B76" w:rsidP="00450B76">
      <w:r>
        <w:rPr>
          <w:noProof/>
          <w:snapToGrid/>
        </w:rPr>
        <w:lastRenderedPageBreak/>
        <w:drawing>
          <wp:inline distT="0" distB="0" distL="0" distR="0" wp14:anchorId="550BD703" wp14:editId="42447A10">
            <wp:extent cx="2695575" cy="2677444"/>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2"/>
                    <a:stretch>
                      <a:fillRect/>
                    </a:stretch>
                  </pic:blipFill>
                  <pic:spPr>
                    <a:xfrm>
                      <a:off x="0" y="0"/>
                      <a:ext cx="2754829" cy="2736299"/>
                    </a:xfrm>
                    <a:prstGeom prst="rect">
                      <a:avLst/>
                    </a:prstGeom>
                    <a:ln>
                      <a:solidFill>
                        <a:schemeClr val="tx1"/>
                      </a:solidFill>
                    </a:ln>
                  </pic:spPr>
                </pic:pic>
              </a:graphicData>
            </a:graphic>
          </wp:inline>
        </w:drawing>
      </w:r>
      <w:r>
        <w:t xml:space="preserve"> </w:t>
      </w:r>
      <w:r>
        <w:rPr>
          <w:noProof/>
          <w:snapToGrid/>
        </w:rPr>
        <w:drawing>
          <wp:inline distT="0" distB="0" distL="0" distR="0" wp14:anchorId="580B87D6" wp14:editId="4D66F648">
            <wp:extent cx="2681287" cy="2663251"/>
            <wp:effectExtent l="19050" t="19050" r="241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3"/>
                    <a:stretch>
                      <a:fillRect/>
                    </a:stretch>
                  </pic:blipFill>
                  <pic:spPr>
                    <a:xfrm>
                      <a:off x="0" y="0"/>
                      <a:ext cx="2689015" cy="2670927"/>
                    </a:xfrm>
                    <a:prstGeom prst="rect">
                      <a:avLst/>
                    </a:prstGeom>
                    <a:ln>
                      <a:solidFill>
                        <a:schemeClr val="tx1"/>
                      </a:solidFill>
                    </a:ln>
                  </pic:spPr>
                </pic:pic>
              </a:graphicData>
            </a:graphic>
          </wp:inline>
        </w:drawing>
      </w:r>
    </w:p>
    <w:p w:rsidR="00450B76" w:rsidRDefault="00450B76" w:rsidP="00450B76">
      <w:r>
        <w:rPr>
          <w:noProof/>
          <w:snapToGrid/>
        </w:rPr>
        <w:drawing>
          <wp:inline distT="0" distB="0" distL="0" distR="0" wp14:anchorId="02030452" wp14:editId="48C9814D">
            <wp:extent cx="2689014" cy="2670927"/>
            <wp:effectExtent l="19050" t="19050" r="1651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4"/>
                    <a:stretch>
                      <a:fillRect/>
                    </a:stretch>
                  </pic:blipFill>
                  <pic:spPr>
                    <a:xfrm>
                      <a:off x="0" y="0"/>
                      <a:ext cx="2689014" cy="2670927"/>
                    </a:xfrm>
                    <a:prstGeom prst="rect">
                      <a:avLst/>
                    </a:prstGeom>
                    <a:ln>
                      <a:solidFill>
                        <a:schemeClr val="tx1"/>
                      </a:solidFill>
                    </a:ln>
                  </pic:spPr>
                </pic:pic>
              </a:graphicData>
            </a:graphic>
          </wp:inline>
        </w:drawing>
      </w:r>
      <w:r>
        <w:rPr>
          <w:noProof/>
          <w:snapToGrid/>
        </w:rPr>
        <w:drawing>
          <wp:inline distT="0" distB="0" distL="0" distR="0" wp14:anchorId="757233B3" wp14:editId="39364ADF">
            <wp:extent cx="2688590" cy="2670505"/>
            <wp:effectExtent l="19050" t="19050" r="1651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5"/>
                    <a:stretch>
                      <a:fillRect/>
                    </a:stretch>
                  </pic:blipFill>
                  <pic:spPr>
                    <a:xfrm>
                      <a:off x="0" y="0"/>
                      <a:ext cx="2689014" cy="2670926"/>
                    </a:xfrm>
                    <a:prstGeom prst="rect">
                      <a:avLst/>
                    </a:prstGeom>
                    <a:ln>
                      <a:solidFill>
                        <a:schemeClr val="tx1"/>
                      </a:solidFill>
                    </a:ln>
                  </pic:spPr>
                </pic:pic>
              </a:graphicData>
            </a:graphic>
          </wp:inline>
        </w:drawing>
      </w:r>
    </w:p>
    <w:p w:rsidR="00450B76" w:rsidRDefault="00450B76" w:rsidP="00450B76">
      <w:pPr>
        <w:spacing w:before="120" w:after="240"/>
        <w:jc w:val="center"/>
      </w:pPr>
      <w:r>
        <w:t xml:space="preserve">Figure </w:t>
      </w:r>
      <w:r w:rsidR="00F457DF">
        <w:t>3</w:t>
      </w:r>
      <w:r>
        <w:t xml:space="preserve">: Impact on the majority agent preference (ideology) with a compromise parameter of 0.1 and varying marginal effectiveness parameters. (top </w:t>
      </w:r>
      <w:proofErr w:type="gramStart"/>
      <w:r>
        <w:t>left)  Marginal</w:t>
      </w:r>
      <w:proofErr w:type="gramEnd"/>
      <w:r>
        <w:t xml:space="preserve"> effectiveness of 1.3, more fundamentalist majority - 0.65 preference. (top right) Marginal effectiveness of 1.4, more moderate majority - 0.49 preference. (bottom left) Marginal effectiveness of 1.45, more fundamentalist majority - 0.71 preference. (bottom right) Marginal effectiveness of 1.5, moderate majority, near grand coalition - 0.56 preference. </w:t>
      </w:r>
    </w:p>
    <w:p w:rsidR="001B3DD5" w:rsidRDefault="001B3DD5" w:rsidP="001B3DD5">
      <w:pPr>
        <w:pStyle w:val="Heading1"/>
      </w:pPr>
      <w:r>
        <w:t xml:space="preserve">Discussion </w:t>
      </w:r>
    </w:p>
    <w:p w:rsidR="00A22E64" w:rsidRDefault="00315E12" w:rsidP="00315E12">
      <w:pPr>
        <w:pStyle w:val="Heading2"/>
      </w:pPr>
      <w:r>
        <w:t xml:space="preserve">Validation </w:t>
      </w:r>
    </w:p>
    <w:p w:rsidR="00210831" w:rsidRDefault="00315E12" w:rsidP="00315E12">
      <w:r>
        <w:t xml:space="preserve">The specifics of the Libyan coalitions </w:t>
      </w:r>
      <w:r w:rsidR="00210831">
        <w:t xml:space="preserve">produced by the model </w:t>
      </w:r>
      <w:r>
        <w:t xml:space="preserve">show simplistic agreement with known Libyan coalitions. In </w:t>
      </w:r>
      <w:proofErr w:type="spellStart"/>
      <w:r>
        <w:t>Tobruk</w:t>
      </w:r>
      <w:proofErr w:type="spellEnd"/>
      <w:r>
        <w:t xml:space="preserve">, </w:t>
      </w:r>
      <w:proofErr w:type="spellStart"/>
      <w:r>
        <w:t>Sa’ada</w:t>
      </w:r>
      <w:proofErr w:type="spellEnd"/>
      <w:r>
        <w:t xml:space="preserve"> tribes (which includes the al-</w:t>
      </w:r>
      <w:proofErr w:type="spellStart"/>
      <w:r>
        <w:t>Ubaidat</w:t>
      </w:r>
      <w:proofErr w:type="spellEnd"/>
      <w:r>
        <w:t xml:space="preserve">) have </w:t>
      </w:r>
      <w:proofErr w:type="gramStart"/>
      <w:r>
        <w:t>an</w:t>
      </w:r>
      <w:proofErr w:type="gramEnd"/>
      <w:r>
        <w:t xml:space="preserve"> coalition with the </w:t>
      </w:r>
      <w:proofErr w:type="spellStart"/>
      <w:r>
        <w:t>Murabitin</w:t>
      </w:r>
      <w:proofErr w:type="spellEnd"/>
      <w:r>
        <w:t xml:space="preserve"> tribes (which includes </w:t>
      </w:r>
      <w:proofErr w:type="spellStart"/>
      <w:r>
        <w:t>Qunashat</w:t>
      </w:r>
      <w:proofErr w:type="spellEnd"/>
      <w:r>
        <w:t xml:space="preserve">, </w:t>
      </w:r>
      <w:proofErr w:type="spellStart"/>
      <w:r>
        <w:t>Habun</w:t>
      </w:r>
      <w:proofErr w:type="spellEnd"/>
      <w:r>
        <w:t xml:space="preserve">, </w:t>
      </w:r>
      <w:proofErr w:type="spellStart"/>
      <w:r>
        <w:t>Qutan</w:t>
      </w:r>
      <w:proofErr w:type="spellEnd"/>
      <w:r>
        <w:t xml:space="preserve"> and </w:t>
      </w:r>
      <w:proofErr w:type="spellStart"/>
      <w:r>
        <w:t>Mnaffa</w:t>
      </w:r>
      <w:proofErr w:type="spellEnd"/>
      <w:r>
        <w:t xml:space="preserve">). These coalitions </w:t>
      </w:r>
      <w:proofErr w:type="gramStart"/>
      <w:r>
        <w:t>are replicated</w:t>
      </w:r>
      <w:proofErr w:type="gramEnd"/>
      <w:r>
        <w:t xml:space="preserve"> in the model as these groups align under the </w:t>
      </w:r>
      <w:r w:rsidR="00210831">
        <w:t>discussed input</w:t>
      </w:r>
      <w:r>
        <w:t xml:space="preserve"> parameters. The reason the model shows simplistic agreement is because </w:t>
      </w:r>
      <w:proofErr w:type="gramStart"/>
      <w:r>
        <w:t>in reality the</w:t>
      </w:r>
      <w:proofErr w:type="gramEnd"/>
      <w:r>
        <w:t xml:space="preserve"> coalition is tense and requires very complex mechanisms to maintain the coalition which the model is unable to replicate (Kane 2015). </w:t>
      </w:r>
    </w:p>
    <w:p w:rsidR="00210831" w:rsidRDefault="00315E12" w:rsidP="00315E12">
      <w:r>
        <w:lastRenderedPageBreak/>
        <w:t xml:space="preserve">In Sabha, the model shows coalitions with </w:t>
      </w:r>
      <w:proofErr w:type="spellStart"/>
      <w:r>
        <w:t>Awlad</w:t>
      </w:r>
      <w:proofErr w:type="spellEnd"/>
      <w:r>
        <w:t xml:space="preserve"> </w:t>
      </w:r>
      <w:proofErr w:type="spellStart"/>
      <w:r>
        <w:t>Sulaiman</w:t>
      </w:r>
      <w:proofErr w:type="spellEnd"/>
      <w:r>
        <w:t xml:space="preserve"> and </w:t>
      </w:r>
      <w:proofErr w:type="spellStart"/>
      <w:r>
        <w:t>Masrata</w:t>
      </w:r>
      <w:proofErr w:type="spellEnd"/>
      <w:r>
        <w:t xml:space="preserve"> tribes. The </w:t>
      </w:r>
      <w:proofErr w:type="spellStart"/>
      <w:r>
        <w:t>Tuareq</w:t>
      </w:r>
      <w:proofErr w:type="spellEnd"/>
      <w:r>
        <w:t xml:space="preserve"> who are active in the trading networks ally with the more moderate majority, which is consistent with the</w:t>
      </w:r>
      <w:r w:rsidR="00210831">
        <w:t>ir</w:t>
      </w:r>
      <w:r>
        <w:t xml:space="preserve"> role as an ethnic minority, who will opportunistically ally to serve their own purposes (Cole and Mangan 2016). </w:t>
      </w:r>
    </w:p>
    <w:p w:rsidR="00210831" w:rsidRDefault="00315E12" w:rsidP="00315E12">
      <w:r>
        <w:t xml:space="preserve">The story for Bani Walid is more complex. The town </w:t>
      </w:r>
      <w:proofErr w:type="gramStart"/>
      <w:r>
        <w:t>is made</w:t>
      </w:r>
      <w:proofErr w:type="gramEnd"/>
      <w:r>
        <w:t xml:space="preserve"> up of five </w:t>
      </w:r>
      <w:proofErr w:type="spellStart"/>
      <w:r>
        <w:t>Warfalla</w:t>
      </w:r>
      <w:proofErr w:type="spellEnd"/>
      <w:r>
        <w:t xml:space="preserve"> sub-tribes (</w:t>
      </w:r>
      <w:proofErr w:type="spellStart"/>
      <w:r>
        <w:t>Sa’dat</w:t>
      </w:r>
      <w:proofErr w:type="spellEnd"/>
      <w:r>
        <w:t xml:space="preserve">, </w:t>
      </w:r>
      <w:proofErr w:type="spellStart"/>
      <w:r>
        <w:t>Jmamla</w:t>
      </w:r>
      <w:proofErr w:type="spellEnd"/>
      <w:r>
        <w:t xml:space="preserve">, </w:t>
      </w:r>
      <w:proofErr w:type="spellStart"/>
      <w:r>
        <w:t>Sabayi</w:t>
      </w:r>
      <w:proofErr w:type="spellEnd"/>
      <w:r>
        <w:t xml:space="preserve"> and 2 </w:t>
      </w:r>
      <w:proofErr w:type="spellStart"/>
      <w:r>
        <w:t>Mtarfa</w:t>
      </w:r>
      <w:proofErr w:type="spellEnd"/>
      <w:r>
        <w:t xml:space="preserve"> tribes). Internally, the </w:t>
      </w:r>
      <w:proofErr w:type="spellStart"/>
      <w:r>
        <w:t>Mtarfa</w:t>
      </w:r>
      <w:proofErr w:type="spellEnd"/>
      <w:r>
        <w:t xml:space="preserve"> feel like an oppressed minority who tried to take control of Bani Walid by aligning with Islamists after Gaddafi’s fall. Bani Walid as a city, however, was punished by Gaddafi for decades as it </w:t>
      </w:r>
      <w:proofErr w:type="gramStart"/>
      <w:r>
        <w:t>was seen as</w:t>
      </w:r>
      <w:proofErr w:type="gramEnd"/>
      <w:r>
        <w:t xml:space="preserve"> the origin of a failed coup in the </w:t>
      </w:r>
      <w:proofErr w:type="spellStart"/>
      <w:r>
        <w:t>1990s</w:t>
      </w:r>
      <w:proofErr w:type="spellEnd"/>
      <w:r>
        <w:t xml:space="preserve">. This made the dominate three tribes unwilling to rebel in 2011 and </w:t>
      </w:r>
      <w:r w:rsidR="00F457DF">
        <w:t xml:space="preserve">they </w:t>
      </w:r>
      <w:r>
        <w:t xml:space="preserve">have tried to keep their city out of the civil war after retaking the town from the </w:t>
      </w:r>
      <w:proofErr w:type="spellStart"/>
      <w:r>
        <w:t>Mtarfa</w:t>
      </w:r>
      <w:proofErr w:type="spellEnd"/>
      <w:r>
        <w:t xml:space="preserve"> and more extreme Islamic groups (Cole and Mangan 2016; Cole 2015). The model </w:t>
      </w:r>
      <w:r w:rsidR="00210831">
        <w:t>cannot</w:t>
      </w:r>
      <w:r>
        <w:t xml:space="preserve"> capture these complex dynamics but it does </w:t>
      </w:r>
      <w:r w:rsidR="00210831">
        <w:t>show</w:t>
      </w:r>
      <w:r>
        <w:t xml:space="preserve"> the </w:t>
      </w:r>
      <w:proofErr w:type="spellStart"/>
      <w:r>
        <w:t>Mtarfa</w:t>
      </w:r>
      <w:proofErr w:type="spellEnd"/>
      <w:r>
        <w:t xml:space="preserve"> aligning with fundamentalists coalitions while the </w:t>
      </w:r>
      <w:proofErr w:type="spellStart"/>
      <w:r>
        <w:t>Sa’dat</w:t>
      </w:r>
      <w:proofErr w:type="spellEnd"/>
      <w:r>
        <w:t xml:space="preserve">, </w:t>
      </w:r>
      <w:proofErr w:type="spellStart"/>
      <w:r>
        <w:t>Jmala</w:t>
      </w:r>
      <w:proofErr w:type="spellEnd"/>
      <w:r>
        <w:t xml:space="preserve">, and </w:t>
      </w:r>
      <w:proofErr w:type="spellStart"/>
      <w:r>
        <w:t>Sabayi</w:t>
      </w:r>
      <w:proofErr w:type="spellEnd"/>
      <w:r>
        <w:t xml:space="preserve"> align with more moderate nationalist o</w:t>
      </w:r>
      <w:r w:rsidR="00F457DF">
        <w:t>r</w:t>
      </w:r>
      <w:r>
        <w:t xml:space="preserve"> fundamentalist configurations. </w:t>
      </w:r>
    </w:p>
    <w:p w:rsidR="00F457DF" w:rsidRDefault="00315E12" w:rsidP="00315E12">
      <w:r>
        <w:t xml:space="preserve">In addition, the model is able to produce </w:t>
      </w:r>
      <w:proofErr w:type="gramStart"/>
      <w:r>
        <w:t>extremists</w:t>
      </w:r>
      <w:proofErr w:type="gramEnd"/>
      <w:r>
        <w:t xml:space="preserve"> groups who do not ally with each other or Islamist groups. This is consistent with the role extremists have played, often </w:t>
      </w:r>
      <w:proofErr w:type="gramStart"/>
      <w:r>
        <w:t>being attacked</w:t>
      </w:r>
      <w:proofErr w:type="gramEnd"/>
      <w:r>
        <w:t xml:space="preserve"> by fundamentalist and driven from their strongholds as happened in Sirte which was taken by </w:t>
      </w:r>
      <w:proofErr w:type="spellStart"/>
      <w:r>
        <w:t>Misratan</w:t>
      </w:r>
      <w:proofErr w:type="spellEnd"/>
      <w:r>
        <w:t xml:space="preserve"> militias. </w:t>
      </w:r>
    </w:p>
    <w:p w:rsidR="00315E12" w:rsidRDefault="00315E12" w:rsidP="00315E12">
      <w:r>
        <w:t xml:space="preserve">Although the model cannot replicate the complex mechanisms of tribal arbitration and rich local histories, it </w:t>
      </w:r>
      <w:r w:rsidR="00F457DF">
        <w:t>does replicate</w:t>
      </w:r>
      <w:r>
        <w:t xml:space="preserve"> agreement with known coalitions in Libya.</w:t>
      </w:r>
    </w:p>
    <w:p w:rsidR="00210831" w:rsidRDefault="00210831" w:rsidP="00210831">
      <w:pPr>
        <w:pStyle w:val="Heading2"/>
      </w:pPr>
      <w:r>
        <w:t>Implications for Libya Policy</w:t>
      </w:r>
    </w:p>
    <w:p w:rsidR="00210831" w:rsidRDefault="00210831" w:rsidP="00210831">
      <w:r w:rsidRPr="00210831">
        <w:t xml:space="preserve">The impact of foreign aid to one major group </w:t>
      </w:r>
      <w:r w:rsidR="00852E49">
        <w:t>(al-</w:t>
      </w:r>
      <w:proofErr w:type="spellStart"/>
      <w:r w:rsidR="00852E49">
        <w:t>Ubaidat</w:t>
      </w:r>
      <w:proofErr w:type="spellEnd"/>
      <w:r w:rsidR="00852E49">
        <w:t xml:space="preserve">) </w:t>
      </w:r>
      <w:r w:rsidRPr="00210831">
        <w:t xml:space="preserve">stylistically agrees with macro-level experiences in Afghanistan, where financial and military aid to a specific group makes them more powerful, but can decrease the number of groups with whom they are incentivized </w:t>
      </w:r>
      <w:r w:rsidR="00F457DF">
        <w:t xml:space="preserve">ally </w:t>
      </w:r>
      <w:r w:rsidRPr="00210831">
        <w:t xml:space="preserve">while increasing the number of </w:t>
      </w:r>
      <w:r w:rsidR="00F457DF">
        <w:t xml:space="preserve">groups in an adversarial </w:t>
      </w:r>
      <w:proofErr w:type="gramStart"/>
      <w:r w:rsidR="00F457DF">
        <w:t xml:space="preserve">coalition </w:t>
      </w:r>
      <w:r w:rsidRPr="00210831">
        <w:t xml:space="preserve"> (</w:t>
      </w:r>
      <w:proofErr w:type="gramEnd"/>
      <w:r w:rsidRPr="00210831">
        <w:t>Kilcullen 2010).</w:t>
      </w:r>
      <w:r w:rsidR="00852E49">
        <w:t xml:space="preserve"> </w:t>
      </w:r>
      <w:r w:rsidRPr="00210831">
        <w:t xml:space="preserve"> </w:t>
      </w:r>
      <w:r w:rsidR="00852E49">
        <w:t xml:space="preserve">This model </w:t>
      </w:r>
      <w:r w:rsidR="00F457DF">
        <w:t xml:space="preserve">shows </w:t>
      </w:r>
      <w:r w:rsidR="00852E49">
        <w:t>such a policy may be counterproductive</w:t>
      </w:r>
      <w:r>
        <w:t xml:space="preserve"> </w:t>
      </w:r>
      <w:r w:rsidR="00852E49">
        <w:t xml:space="preserve">by making a minority coalition against whom a majority coalition forms. </w:t>
      </w:r>
    </w:p>
    <w:p w:rsidR="00852E49" w:rsidRPr="00210831" w:rsidRDefault="00852E49" w:rsidP="00210831">
      <w:r>
        <w:t xml:space="preserve">The model also demonstrates the most effective policy may not be increasing a group’s power, but instead increasing their marginal effectiveness. This recommendation agrees with the civil conflict literature </w:t>
      </w:r>
      <w:r w:rsidR="00444E47">
        <w:fldChar w:fldCharType="begin" w:fldLock="1"/>
      </w:r>
      <w:r w:rsidR="00444E47">
        <w:instrText>ADDIN CSL_CITATION { "citationItems" : [ { "id" : "ITEM-1", "itemData" : { "ISBN" : "978-0-521-67004-3", "author" : [ { "dropping-particle" : "", "family" : "Kalyvas", "given" : "Stathis N.", "non-dropping-particle" : "", "parse-names" : false, "suffix" : "" } ], "id" : "ITEM-1", "issued" : { "date-parts" : [ [ "2006" ] ] }, "publisher" : "Cambridge University Press", "publisher-place" : "New York", "title" : "The Logic of Violence in Civil War", "type" : "book" }, "uris" : [ "http://www.mendeley.com/documents/?uuid=5579276b-05b4-406f-9785-f8dcd3073d70" ] }, { "id" : "ITEM-2", "itemData" : { "DOI" : "0-275-99269-1", "author" : [ { "dropping-particle" : "", "family" : "Galula", "given" : "David", "non-dropping-particle" : "", "parse-names" : false, "suffix" : "" } ], "edition" : "2nd", "id" : "ITEM-2", "issued" : { "date-parts" : [ [ "2006" ] ] }, "publisher" : "Praeger Security International", "publisher-place" : "Westport, Connecticut", "title" : "Counterinsurgency Warfare: Theory and Practice", "type" : "book" }, "uris" : [ "http://www.mendeley.com/documents/?uuid=29e15d15-8a8f-4dc5-b6f3-ca0b530d3a1b" ] }, { "id" : "ITEM-3", "itemData" : { "author" : [ { "dropping-particle" : "", "family" : "Kilcullen", "given" : "David", "non-dropping-particle" : "", "parse-names" : false, "suffix" : "" } ], "id" : "ITEM-3", "issued" : { "date-parts" : [ [ "2010" ] ] }, "publisher" : "Oxford University Press", "publisher-place" : "Oxford", "title" : "Counterinsurgency", "type" : "book" }, "uris" : [ "http://www.mendeley.com/documents/?uuid=63366db3-4bc8-4609-8d9b-737c2cb03654" ] } ], "mendeley" : { "formattedCitation" : "(Kalyvas 2006; Galula 2006; Kilcullen 2010)", "plainTextFormattedCitation" : "(Kalyvas 2006; Galula 2006; Kilcullen 2010)", "previouslyFormattedCitation" : "(Kalyvas 2006; Galula 2006; Kilcullen 2010)" }, "properties" : { "noteIndex" : 12 }, "schema" : "https://github.com/citation-style-language/schema/raw/master/csl-citation.json" }</w:instrText>
      </w:r>
      <w:r w:rsidR="00444E47">
        <w:fldChar w:fldCharType="separate"/>
      </w:r>
      <w:r w:rsidR="00444E47" w:rsidRPr="00444E47">
        <w:rPr>
          <w:noProof/>
        </w:rPr>
        <w:t>(Kalyvas 2006; Galula 2006; Kilcullen 2010)</w:t>
      </w:r>
      <w:r w:rsidR="00444E47">
        <w:fldChar w:fldCharType="end"/>
      </w:r>
      <w:r w:rsidR="00444E47">
        <w:t xml:space="preserve">, but presents challenges for practical </w:t>
      </w:r>
      <w:proofErr w:type="spellStart"/>
      <w:r w:rsidR="001F2400">
        <w:t>implmentation</w:t>
      </w:r>
      <w:proofErr w:type="spellEnd"/>
      <w:r w:rsidR="00444E47">
        <w:t xml:space="preserve">. </w:t>
      </w:r>
      <w:r>
        <w:t xml:space="preserve"> </w:t>
      </w:r>
    </w:p>
    <w:p w:rsidR="00A22E64" w:rsidRDefault="00A22E64" w:rsidP="00315E12">
      <w:pPr>
        <w:pStyle w:val="Heading2"/>
      </w:pPr>
      <w:r>
        <w:t>Potential as Analyst Tool</w:t>
      </w:r>
    </w:p>
    <w:p w:rsidR="00210831" w:rsidRDefault="00210831" w:rsidP="00210831">
      <w:r>
        <w:t xml:space="preserve">This approach fundamentally alters the historic Westphalian perspective of a foreign country as a homogenous entity. By examining how 128 different groups may react to a large influx of outside support this model assumed a fundamentally different perspective in which foreign </w:t>
      </w:r>
      <w:r w:rsidR="001F2400">
        <w:t>a</w:t>
      </w:r>
      <w:r>
        <w:t xml:space="preserve">ctions influence the inner workings, decisions and evolution of the foreign population. Computing the optimal coalitions of 128 groups all examining every other possibility as each new coalition changes their options is a non-trivial task which is possible through the aid of computation. As this model can take </w:t>
      </w:r>
      <w:r w:rsidR="006360A2">
        <w:t xml:space="preserve">different </w:t>
      </w:r>
      <w:r>
        <w:t>number</w:t>
      </w:r>
      <w:r w:rsidR="006360A2">
        <w:t>s</w:t>
      </w:r>
      <w:r>
        <w:t xml:space="preserve"> of groups</w:t>
      </w:r>
      <w:r w:rsidR="006360A2">
        <w:t>,</w:t>
      </w:r>
      <w:r>
        <w:t xml:space="preserve"> from any population</w:t>
      </w:r>
      <w:r w:rsidR="006360A2">
        <w:t>,</w:t>
      </w:r>
      <w:r>
        <w:t xml:space="preserve"> in any </w:t>
      </w:r>
      <w:proofErr w:type="gramStart"/>
      <w:r>
        <w:t>time period</w:t>
      </w:r>
      <w:proofErr w:type="gramEnd"/>
      <w:r>
        <w:t xml:space="preserve"> to explore</w:t>
      </w:r>
      <w:r w:rsidR="006360A2">
        <w:t>, the model</w:t>
      </w:r>
      <w:r>
        <w:t xml:space="preserve"> offers much greater flexibility in analyzing how coalitions within a population form and what aspects of the various groups affected those coalitions.  This approach offers significant new possibilities in which to explore the impact of foreign support.</w:t>
      </w:r>
    </w:p>
    <w:p w:rsidR="00444E47" w:rsidRPr="00210831" w:rsidRDefault="00444E47" w:rsidP="00210831">
      <w:r>
        <w:t xml:space="preserve">In addition, the algorithm can </w:t>
      </w:r>
      <w:proofErr w:type="gramStart"/>
      <w:r>
        <w:t>be implemented</w:t>
      </w:r>
      <w:proofErr w:type="gramEnd"/>
      <w:r>
        <w:t xml:space="preserve"> in one line of code. Currently, this variation can </w:t>
      </w:r>
      <w:proofErr w:type="gramStart"/>
      <w:r>
        <w:t>be found</w:t>
      </w:r>
      <w:proofErr w:type="gramEnd"/>
      <w:r>
        <w:t xml:space="preserve"> at </w:t>
      </w:r>
      <w:hyperlink r:id="rId16" w:history="1">
        <w:r w:rsidRPr="00EB587B">
          <w:rPr>
            <w:rStyle w:val="Hyperlink"/>
          </w:rPr>
          <w:t>https://github.com/tpike3/mesa</w:t>
        </w:r>
      </w:hyperlink>
      <w:r>
        <w:t xml:space="preserve">, while it undergoes consideration for inclusion in the Python based ABM library Mesa. </w:t>
      </w:r>
      <w:r w:rsidR="006360A2">
        <w:t xml:space="preserve">With this variation, any analyst can quickly and easily implement it in an ABM. If other algorithms from social science were also readily accessible then analysts could combine them to create richer models able to explore a wider variety of phenomenon. For example, the use of the Bilateral Shapley value and conflict onset theory were combined to explore the impact of climate variability and civil conflict </w:t>
      </w:r>
      <w:r w:rsidR="006360A2">
        <w:fldChar w:fldCharType="begin" w:fldLock="1"/>
      </w:r>
      <w:r w:rsidR="006360A2">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12 }, "schema" : "https://github.com/citation-style-language/schema/raw/master/csl-citation.json" }</w:instrText>
      </w:r>
      <w:r w:rsidR="006360A2">
        <w:fldChar w:fldCharType="separate"/>
      </w:r>
      <w:r w:rsidR="006360A2" w:rsidRPr="006360A2">
        <w:rPr>
          <w:noProof/>
        </w:rPr>
        <w:t>(Zinig and Zagorowski 2017)</w:t>
      </w:r>
      <w:r w:rsidR="006360A2">
        <w:fldChar w:fldCharType="end"/>
      </w:r>
      <w:r w:rsidR="006360A2">
        <w:t>. This use of the model then makes it identical to parametric machine learning algorithms in wide spread use today.</w:t>
      </w:r>
    </w:p>
    <w:p w:rsidR="00A22E64" w:rsidRDefault="006360A2" w:rsidP="00315E12">
      <w:pPr>
        <w:pStyle w:val="Heading2"/>
      </w:pPr>
      <w:r>
        <w:lastRenderedPageBreak/>
        <w:t>Future Research</w:t>
      </w:r>
    </w:p>
    <w:p w:rsidR="00A22E64" w:rsidRDefault="006360A2" w:rsidP="00F404A8">
      <w:r w:rsidRPr="006360A2">
        <w:t xml:space="preserve">Diversifying the marginal effectiveness parameter so different groups have different attributes and whose coupling have different impacts would be a potentially powerful way to extend this model. For example, a </w:t>
      </w:r>
      <w:proofErr w:type="spellStart"/>
      <w:r w:rsidRPr="006360A2">
        <w:t>Misrata</w:t>
      </w:r>
      <w:proofErr w:type="spellEnd"/>
      <w:r w:rsidRPr="006360A2">
        <w:t xml:space="preserve"> tribe may form </w:t>
      </w:r>
      <w:proofErr w:type="gramStart"/>
      <w:r w:rsidRPr="006360A2">
        <w:t>an</w:t>
      </w:r>
      <w:proofErr w:type="gramEnd"/>
      <w:r w:rsidRPr="006360A2">
        <w:t xml:space="preserve"> coalition with an </w:t>
      </w:r>
      <w:proofErr w:type="spellStart"/>
      <w:r w:rsidRPr="006360A2">
        <w:t>Awlad</w:t>
      </w:r>
      <w:proofErr w:type="spellEnd"/>
      <w:r w:rsidRPr="006360A2">
        <w:t xml:space="preserve"> </w:t>
      </w:r>
      <w:proofErr w:type="spellStart"/>
      <w:r w:rsidRPr="006360A2">
        <w:t>Sulaiman</w:t>
      </w:r>
      <w:proofErr w:type="spellEnd"/>
      <w:r w:rsidRPr="006360A2">
        <w:t xml:space="preserve"> tribe in Sabha to create a trade route to move goods from Europe into Africa and vice versa. This coalition would have more marginal effectiveness than the </w:t>
      </w:r>
      <w:proofErr w:type="spellStart"/>
      <w:r w:rsidRPr="006360A2">
        <w:t>Misrata</w:t>
      </w:r>
      <w:proofErr w:type="spellEnd"/>
      <w:r w:rsidRPr="006360A2">
        <w:t xml:space="preserve"> tribe forming </w:t>
      </w:r>
      <w:proofErr w:type="gramStart"/>
      <w:r w:rsidRPr="006360A2">
        <w:t>an</w:t>
      </w:r>
      <w:proofErr w:type="gramEnd"/>
      <w:r w:rsidRPr="006360A2">
        <w:t xml:space="preserve"> coalition with a tribe from Al-</w:t>
      </w:r>
      <w:proofErr w:type="spellStart"/>
      <w:r w:rsidRPr="006360A2">
        <w:t>Khums</w:t>
      </w:r>
      <w:proofErr w:type="spellEnd"/>
      <w:r w:rsidRPr="006360A2">
        <w:t xml:space="preserve"> another coastal city near </w:t>
      </w:r>
      <w:proofErr w:type="spellStart"/>
      <w:r w:rsidRPr="006360A2">
        <w:t>Misrata</w:t>
      </w:r>
      <w:proofErr w:type="spellEnd"/>
      <w:r w:rsidRPr="006360A2">
        <w:t xml:space="preserve">. This approach also provides the possibility of seeing what impact improving a specific group’s attributes may have on coalition formation. This may result in more specific foreign aid policies which </w:t>
      </w:r>
      <w:proofErr w:type="gramStart"/>
      <w:r w:rsidRPr="006360A2">
        <w:t>have the ability to</w:t>
      </w:r>
      <w:proofErr w:type="gramEnd"/>
      <w:r w:rsidRPr="006360A2">
        <w:t xml:space="preserve"> grow bottom up solutions instead of broad top down foreign policy interventions.  </w:t>
      </w:r>
    </w:p>
    <w:p w:rsidR="00F404A8" w:rsidRDefault="00F404A8" w:rsidP="00F404A8">
      <w:r>
        <w:t xml:space="preserve">The broader area for future research is the development of rich social science libraries, which allows analysts, researchers or whomever to develop models for specific phenomenon of interest. The world of machine learning as already shown the power of such an approach. </w:t>
      </w:r>
    </w:p>
    <w:p w:rsidR="00F404A8" w:rsidRDefault="00F404A8" w:rsidP="00F404A8">
      <w:pPr>
        <w:pStyle w:val="Heading1"/>
      </w:pPr>
      <w:r>
        <w:t>Conclusion</w:t>
      </w:r>
    </w:p>
    <w:p w:rsidR="00F17E20" w:rsidRDefault="00F17E20" w:rsidP="00F404A8">
      <w:r>
        <w:t xml:space="preserve">The application of a computational model to Libya’s ongoing civil conflict has demonstrated the potential of such tools for intelligence analysis. This model using the well-known Shapley value from coalition game theory produced results consistent with observed phenomenon in the conflict, as well as results consistent with other foreign interventions. </w:t>
      </w:r>
    </w:p>
    <w:p w:rsidR="00F404A8" w:rsidRDefault="00F17E20" w:rsidP="00F404A8">
      <w:r>
        <w:t xml:space="preserve">The model was able to go </w:t>
      </w:r>
      <w:proofErr w:type="gramStart"/>
      <w:r>
        <w:t>beyond  human</w:t>
      </w:r>
      <w:proofErr w:type="gramEnd"/>
      <w:r>
        <w:t xml:space="preserve"> cognitive capability by analyzing the potential combinations of 128 groups. The underlying algorithm, the bilateral Shapley value, </w:t>
      </w:r>
      <w:proofErr w:type="gramStart"/>
      <w:r>
        <w:t>was also optimized</w:t>
      </w:r>
      <w:proofErr w:type="gramEnd"/>
      <w:r>
        <w:t xml:space="preserve"> to be implemented in one line of code. These results validate the proof of concept.</w:t>
      </w:r>
    </w:p>
    <w:p w:rsidR="00F17E20" w:rsidRPr="00F404A8" w:rsidRDefault="00F17E20" w:rsidP="00F404A8">
      <w:r>
        <w:t xml:space="preserve">The development of a rich ecosystem of social science algorithms which can </w:t>
      </w:r>
      <w:proofErr w:type="gramStart"/>
      <w:r>
        <w:t>be easily employed</w:t>
      </w:r>
      <w:proofErr w:type="gramEnd"/>
      <w:r>
        <w:t xml:space="preserve"> by researchers, analysts or any other interested </w:t>
      </w:r>
      <w:r w:rsidR="00136A03">
        <w:t>individual</w:t>
      </w:r>
      <w:r>
        <w:t xml:space="preserve"> has the </w:t>
      </w:r>
      <w:r w:rsidR="000507A4">
        <w:t xml:space="preserve">potential to revolutionize how we understood </w:t>
      </w:r>
      <w:r w:rsidR="00136A03">
        <w:t xml:space="preserve">and engage </w:t>
      </w:r>
      <w:r w:rsidR="000507A4">
        <w:t>the world.</w:t>
      </w:r>
    </w:p>
    <w:p w:rsidR="007C7735" w:rsidRDefault="00F404A8" w:rsidP="007C7735">
      <w:pPr>
        <w:pStyle w:val="Heading"/>
      </w:pPr>
      <w:r>
        <w:t>AUTHOR BIOGRAPHy</w:t>
      </w:r>
    </w:p>
    <w:p w:rsidR="007C7735" w:rsidRDefault="00F404A8" w:rsidP="007C7735">
      <w:r>
        <w:rPr>
          <w:b/>
        </w:rPr>
        <w:t>THOMAS D. PIKE</w:t>
      </w:r>
      <w:r w:rsidR="007C7735">
        <w:t xml:space="preserve"> is </w:t>
      </w:r>
      <w:r>
        <w:t>a PhD student at George Mason University in the Department of Computational Social Science</w:t>
      </w:r>
      <w:r w:rsidR="007C7735">
        <w:t xml:space="preserve">. </w:t>
      </w:r>
      <w:r>
        <w:t>He is an active duty Lieutenant Colonel in the U.S. Army, serving as a Strategic Intelligence officer. The views expressed in this paper are his own and do not reflect those of the U.S. Government Department of Defense or U.S. Army</w:t>
      </w:r>
      <w:proofErr w:type="gramStart"/>
      <w:r>
        <w:t xml:space="preserve">.  </w:t>
      </w:r>
      <w:proofErr w:type="gramEnd"/>
      <w:r w:rsidR="007C7735">
        <w:t>H</w:t>
      </w:r>
      <w:r>
        <w:t>is</w:t>
      </w:r>
      <w:r w:rsidR="007C7735">
        <w:t xml:space="preserve"> email address is </w:t>
      </w:r>
      <w:hyperlink r:id="rId17" w:history="1">
        <w:r w:rsidRPr="00EB587B">
          <w:rPr>
            <w:rStyle w:val="Hyperlink"/>
          </w:rPr>
          <w:t>tpike3@gmu.edu</w:t>
        </w:r>
      </w:hyperlink>
      <w:r w:rsidR="007C7735">
        <w:t xml:space="preserve">. </w:t>
      </w:r>
    </w:p>
    <w:p w:rsidR="00D30A31" w:rsidRDefault="00D30A31" w:rsidP="00D30A31">
      <w:pPr>
        <w:pStyle w:val="Heading"/>
      </w:pPr>
      <w:r w:rsidRPr="00367E5A">
        <w:t>references</w:t>
      </w:r>
    </w:p>
    <w:p w:rsidR="00F07030" w:rsidRPr="00F07030" w:rsidRDefault="00F404A8" w:rsidP="00F07030">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F07030" w:rsidRPr="00F07030">
        <w:rPr>
          <w:noProof/>
          <w:szCs w:val="24"/>
        </w:rPr>
        <w:t xml:space="preserve">Abdollahian, Mark, Yang Zinig, and Hal Nelson. 2013. “Techno-Social Energy Infrastructure Siting : Sustainable Energy Modeling Programming ( SEMPro ).” </w:t>
      </w:r>
      <w:r w:rsidR="00F07030" w:rsidRPr="00F07030">
        <w:rPr>
          <w:i/>
          <w:iCs/>
          <w:noProof/>
          <w:szCs w:val="24"/>
        </w:rPr>
        <w:t>Journal of Artifical Socieities and Simulation</w:t>
      </w:r>
      <w:r w:rsidR="00F07030" w:rsidRPr="00F07030">
        <w:rPr>
          <w:noProof/>
          <w:szCs w:val="24"/>
        </w:rPr>
        <w:t xml:space="preserve"> 16 (3): 1–12.</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Bennett, D. Scott. 2008. “Governments, Civilians, and the Evolution of Insurgency: Modeling the Early Dynamics of Insurgencies.” </w:t>
      </w:r>
      <w:r w:rsidRPr="00F07030">
        <w:rPr>
          <w:i/>
          <w:iCs/>
          <w:noProof/>
          <w:szCs w:val="24"/>
        </w:rPr>
        <w:t>Jasss</w:t>
      </w:r>
      <w:r w:rsidRPr="00F07030">
        <w:rPr>
          <w:noProof/>
          <w:szCs w:val="24"/>
        </w:rPr>
        <w:t xml:space="preserve"> 11 (4).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Boduszyński, Mieczysław P. 2015. “The Libyan Revolution and Its Aftermath / The 2011 Libyan Uprisings and the Struggle for the Post-Qadhafi Future.” </w:t>
      </w:r>
      <w:r w:rsidRPr="00F07030">
        <w:rPr>
          <w:i/>
          <w:iCs/>
          <w:noProof/>
          <w:szCs w:val="24"/>
        </w:rPr>
        <w:t>The Journal of North African Studies</w:t>
      </w:r>
      <w:r w:rsidRPr="00F07030">
        <w:rPr>
          <w:noProof/>
          <w:szCs w:val="24"/>
        </w:rPr>
        <w:t xml:space="preserve"> 20 (5): 898–900. doi:10.1080/13629387.2015.1075307.</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Bueno De Mesquita, Bruce, Alastair Smith, Randolph M. Siverson, and James D. Morrow. 2003. </w:t>
      </w:r>
      <w:r w:rsidRPr="00F07030">
        <w:rPr>
          <w:i/>
          <w:iCs/>
          <w:noProof/>
          <w:szCs w:val="24"/>
        </w:rPr>
        <w:t>The Logic of Political Survival</w:t>
      </w:r>
      <w:r w:rsidRPr="00F07030">
        <w:rPr>
          <w:noProof/>
          <w:szCs w:val="24"/>
        </w:rPr>
        <w:t>. Cambridge, Massachusetts: The MIT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Caulkins, Jonathan P., Dieter Grass, Gustav Feichtinger, and Gernot Tragler. 2008. “Optimizing Counter-Terror Operations: Should One Fight Fire With ‘fire’ or ‘water’?” </w:t>
      </w:r>
      <w:r w:rsidRPr="00F07030">
        <w:rPr>
          <w:i/>
          <w:iCs/>
          <w:noProof/>
          <w:szCs w:val="24"/>
        </w:rPr>
        <w:t xml:space="preserve">Computers and Operations </w:t>
      </w:r>
      <w:r w:rsidRPr="00F07030">
        <w:rPr>
          <w:i/>
          <w:iCs/>
          <w:noProof/>
          <w:szCs w:val="24"/>
        </w:rPr>
        <w:lastRenderedPageBreak/>
        <w:t>Research</w:t>
      </w:r>
      <w:r w:rsidRPr="00F07030">
        <w:rPr>
          <w:noProof/>
          <w:szCs w:val="24"/>
        </w:rPr>
        <w:t xml:space="preserve"> 35 (6): 1874–85. doi:10.1016/j.cor.2006.09.017.</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Epstein, J. M. 2002. “Modeling Civil Violence: An Agent-Based Computational Approach.” </w:t>
      </w:r>
      <w:r w:rsidRPr="00F07030">
        <w:rPr>
          <w:i/>
          <w:iCs/>
          <w:noProof/>
          <w:szCs w:val="24"/>
        </w:rPr>
        <w:t>Proceedings of the National Academy of Sciences</w:t>
      </w:r>
      <w:r w:rsidRPr="00F07030">
        <w:rPr>
          <w:noProof/>
          <w:szCs w:val="24"/>
        </w:rPr>
        <w:t xml:space="preserve"> 99 (Supplement 3): 7243–50. doi:10.1073/pnas.092080199.</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Ferris, Timothy. 2011. </w:t>
      </w:r>
      <w:r w:rsidRPr="00F07030">
        <w:rPr>
          <w:i/>
          <w:iCs/>
          <w:noProof/>
          <w:szCs w:val="24"/>
        </w:rPr>
        <w:t>The Science of Liberty: Democracy, Reasons and the Laws of Nature</w:t>
      </w:r>
      <w:r w:rsidRPr="00F07030">
        <w:rPr>
          <w:noProof/>
          <w:szCs w:val="24"/>
        </w:rPr>
        <w:t>. New York: Harper Perennial.</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Findley, Michael G., and Joseph K. Young. 2007. “Fighting Fire with Fire? How (Not) to Neutralize an Insurgency.” </w:t>
      </w:r>
      <w:r w:rsidRPr="00F07030">
        <w:rPr>
          <w:i/>
          <w:iCs/>
          <w:noProof/>
          <w:szCs w:val="24"/>
        </w:rPr>
        <w:t>Civil Wars</w:t>
      </w:r>
      <w:r w:rsidRPr="00F07030">
        <w:rPr>
          <w:noProof/>
          <w:szCs w:val="24"/>
        </w:rPr>
        <w:t xml:space="preserve"> 9 (4): 378–401. doi:10.1080/13698240701699482.</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Galula, David. 2006. </w:t>
      </w:r>
      <w:r w:rsidRPr="00F07030">
        <w:rPr>
          <w:i/>
          <w:iCs/>
          <w:noProof/>
          <w:szCs w:val="24"/>
        </w:rPr>
        <w:t>Counterinsurgency Warfare: Theory and Practice</w:t>
      </w:r>
      <w:r w:rsidRPr="00F07030">
        <w:rPr>
          <w:noProof/>
          <w:szCs w:val="24"/>
        </w:rPr>
        <w:t>. 2nd ed. Westport, Connecticut: Praeger Security International. doi:0-275-99269-1.</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Gilbert, Nigel, and K G Troitzsch. 2005. </w:t>
      </w:r>
      <w:r w:rsidRPr="00F07030">
        <w:rPr>
          <w:i/>
          <w:iCs/>
          <w:noProof/>
          <w:szCs w:val="24"/>
        </w:rPr>
        <w:t>Simulation for the Social Scientist</w:t>
      </w:r>
      <w:r w:rsidRPr="00F07030">
        <w:rPr>
          <w:noProof/>
          <w:szCs w:val="24"/>
        </w:rPr>
        <w:t xml:space="preserve">. </w:t>
      </w:r>
      <w:r w:rsidRPr="00F07030">
        <w:rPr>
          <w:i/>
          <w:iCs/>
          <w:noProof/>
          <w:szCs w:val="24"/>
        </w:rPr>
        <w:t>Statistics</w:t>
      </w:r>
      <w:r w:rsidRPr="00F07030">
        <w:rPr>
          <w:noProof/>
          <w:szCs w:val="24"/>
        </w:rPr>
        <w:t>.</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Kalyvas, Stathis N. 2006. </w:t>
      </w:r>
      <w:r w:rsidRPr="00F07030">
        <w:rPr>
          <w:i/>
          <w:iCs/>
          <w:noProof/>
          <w:szCs w:val="24"/>
        </w:rPr>
        <w:t>The Logic of Violence in Civil War</w:t>
      </w:r>
      <w:r w:rsidRPr="00F07030">
        <w:rPr>
          <w:noProof/>
          <w:szCs w:val="24"/>
        </w:rPr>
        <w:t>. New York: Cambridge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Ketchpel, S P. 1995. “Coalition Formation among Autonomous Agents.” </w:t>
      </w:r>
      <w:r w:rsidRPr="00F07030">
        <w:rPr>
          <w:i/>
          <w:iCs/>
          <w:noProof/>
          <w:szCs w:val="24"/>
        </w:rPr>
        <w:t>From Reaction to Cognition</w:t>
      </w:r>
      <w:r w:rsidRPr="00F07030">
        <w:rPr>
          <w:noProof/>
          <w:szCs w:val="24"/>
        </w:rPr>
        <w:t>, no. 957: 73–88.</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Kilcullen, David. 2010. </w:t>
      </w:r>
      <w:r w:rsidRPr="00F07030">
        <w:rPr>
          <w:i/>
          <w:iCs/>
          <w:noProof/>
          <w:szCs w:val="24"/>
        </w:rPr>
        <w:t>Counterinsurgency</w:t>
      </w:r>
      <w:r w:rsidRPr="00F07030">
        <w:rPr>
          <w:noProof/>
          <w:szCs w:val="24"/>
        </w:rPr>
        <w:t>. Oxford: Oxford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Kress, Moshe, and Niall J. MacKay. 2014. “Bits or Shots in Combat? The Generalized Deitchman Model of Guerrilla Warfare.” </w:t>
      </w:r>
      <w:r w:rsidRPr="00F07030">
        <w:rPr>
          <w:i/>
          <w:iCs/>
          <w:noProof/>
          <w:szCs w:val="24"/>
        </w:rPr>
        <w:t>Operations Research Letters</w:t>
      </w:r>
      <w:r w:rsidRPr="00F07030">
        <w:rPr>
          <w:noProof/>
          <w:szCs w:val="24"/>
        </w:rPr>
        <w:t xml:space="preserve"> 42 (1). Elsevier B.V.: 102–8. doi:10.1016/j.orl.2013.08.004.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“Libya Profile - Timeline - BBC News.” 2017. Accessed May 8. http://www.bbc.com/news/world-africa-13755445.</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Malamud-Goti, Jaime. 1996. </w:t>
      </w:r>
      <w:r w:rsidRPr="00F07030">
        <w:rPr>
          <w:i/>
          <w:iCs/>
          <w:noProof/>
          <w:szCs w:val="24"/>
        </w:rPr>
        <w:t>Game Without End: State Terror and the Politics of Justice</w:t>
      </w:r>
      <w:r w:rsidRPr="00F07030">
        <w:rPr>
          <w:noProof/>
          <w:szCs w:val="24"/>
        </w:rPr>
        <w:t>. Norman, Oklahoma: Oklahoma University Press.</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Noton, M., C. R. Mitchell, and F. R. Janes. 1974. “The Systems Analysis of Conflict.” </w:t>
      </w:r>
      <w:r w:rsidRPr="00F07030">
        <w:rPr>
          <w:i/>
          <w:iCs/>
          <w:noProof/>
          <w:szCs w:val="24"/>
        </w:rPr>
        <w:t>Futures</w:t>
      </w:r>
      <w:r w:rsidRPr="00F07030">
        <w:rPr>
          <w:noProof/>
          <w:szCs w:val="24"/>
        </w:rPr>
        <w:t xml:space="preserve"> 6 (2): 114–32. doi:10.1016/0016-3287(74)90018-4.</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Pechenkina, Anna O, and D Scott Bennett. 2017. “Violent and Non-Violent Strategies of Counterinsurgency Two Broad Approaches to Counterinsurgency.” </w:t>
      </w:r>
      <w:r w:rsidRPr="00F07030">
        <w:rPr>
          <w:i/>
          <w:iCs/>
          <w:noProof/>
          <w:szCs w:val="24"/>
        </w:rPr>
        <w:t>The Journal of Artifical Societies and Social Simulations</w:t>
      </w:r>
      <w:r w:rsidRPr="00F07030">
        <w:rPr>
          <w:noProof/>
          <w:szCs w:val="24"/>
        </w:rPr>
        <w:t xml:space="preserve"> 20 (4). http://jasss.soc.surrey.ac.uk/20/4/11.html.</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Roth, Alvin E. 1988. </w:t>
      </w:r>
      <w:r w:rsidRPr="00F07030">
        <w:rPr>
          <w:i/>
          <w:iCs/>
          <w:noProof/>
          <w:szCs w:val="24"/>
        </w:rPr>
        <w:t>The Shapley Value</w:t>
      </w:r>
      <w:r w:rsidRPr="00F07030">
        <w:rPr>
          <w:noProof/>
          <w:szCs w:val="24"/>
        </w:rPr>
        <w:t xml:space="preserve">. </w:t>
      </w:r>
      <w:r w:rsidRPr="00F07030">
        <w:rPr>
          <w:i/>
          <w:iCs/>
          <w:noProof/>
          <w:szCs w:val="24"/>
        </w:rPr>
        <w:t>Game Theory and Applications</w:t>
      </w:r>
      <w:r w:rsidRPr="00F07030">
        <w:rPr>
          <w:noProof/>
          <w:szCs w:val="24"/>
        </w:rPr>
        <w:t>. doi:10.1017/CBO9780511528446.</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USAID. 2017. “U.S. Foreign Aid by Country.” Accessed November 11. https://explorer.usaid.gov/cd/AFG.</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Weber, Max, and John Dreijmanis. 2008. </w:t>
      </w:r>
      <w:r w:rsidRPr="00F07030">
        <w:rPr>
          <w:i/>
          <w:iCs/>
          <w:noProof/>
          <w:szCs w:val="24"/>
        </w:rPr>
        <w:t>Max Weber’s Complete Writings on Academic and Political Vocations</w:t>
      </w:r>
      <w:r w:rsidRPr="00F07030">
        <w:rPr>
          <w:noProof/>
          <w:szCs w:val="24"/>
        </w:rPr>
        <w:t>. New York: Algora Publishing. http://search.ebscohost.com/login.aspx?direct=true&amp;db=nlebk&amp;AN=221042&amp;site=bsi-live.</w:t>
      </w:r>
    </w:p>
    <w:p w:rsidR="00F07030" w:rsidRPr="00F07030" w:rsidRDefault="00F07030" w:rsidP="00F07030">
      <w:pPr>
        <w:widowControl w:val="0"/>
        <w:autoSpaceDE w:val="0"/>
        <w:autoSpaceDN w:val="0"/>
        <w:adjustRightInd w:val="0"/>
        <w:ind w:left="480" w:hanging="480"/>
        <w:rPr>
          <w:noProof/>
          <w:szCs w:val="24"/>
        </w:rPr>
      </w:pPr>
      <w:r w:rsidRPr="00F07030">
        <w:rPr>
          <w:noProof/>
          <w:szCs w:val="24"/>
        </w:rPr>
        <w:t xml:space="preserve">Yoav, Shoham, and Kevin Leyton-Brown. 2009. </w:t>
      </w:r>
      <w:r w:rsidRPr="00F07030">
        <w:rPr>
          <w:i/>
          <w:iCs/>
          <w:noProof/>
          <w:szCs w:val="24"/>
        </w:rPr>
        <w:t>Multiagent Systems: Algorithmic, Game-Theoretic, and Logical Foundations</w:t>
      </w:r>
      <w:r w:rsidRPr="00F07030">
        <w:rPr>
          <w:noProof/>
          <w:szCs w:val="24"/>
        </w:rPr>
        <w:t>. Kindle. New York: Cambridge University Press.</w:t>
      </w:r>
    </w:p>
    <w:p w:rsidR="00F404A8" w:rsidRDefault="00F07030" w:rsidP="00F07030">
      <w:pPr>
        <w:widowControl w:val="0"/>
        <w:autoSpaceDE w:val="0"/>
        <w:autoSpaceDN w:val="0"/>
        <w:adjustRightInd w:val="0"/>
        <w:ind w:left="480" w:hanging="480"/>
      </w:pPr>
      <w:r w:rsidRPr="00F07030">
        <w:rPr>
          <w:noProof/>
          <w:szCs w:val="24"/>
        </w:rPr>
        <w:t xml:space="preserve">Zinig, Yang, and Piotr Zagorowski. 2017. “Climate Variability, Opposition Group Formation and Conflict Onset.” In </w:t>
      </w:r>
      <w:r w:rsidRPr="00F07030">
        <w:rPr>
          <w:i/>
          <w:iCs/>
          <w:noProof/>
          <w:szCs w:val="24"/>
        </w:rPr>
        <w:t>Advances in Applied Digital Human Modeling and Simulation: Proceedings of the AHFE 2016 International Conference on Digital Human Modeling and Simulation</w:t>
      </w:r>
      <w:r w:rsidRPr="00F07030">
        <w:rPr>
          <w:noProof/>
          <w:szCs w:val="24"/>
        </w:rPr>
        <w:t>, edited by Vincent G. Duffy, 183–91. Springer.</w:t>
      </w:r>
      <w:r w:rsidR="00F404A8">
        <w:fldChar w:fldCharType="end"/>
      </w:r>
    </w:p>
    <w:sectPr w:rsidR="00F404A8" w:rsidSect="00E5163C">
      <w:headerReference w:type="default" r:id="rId18"/>
      <w:footerReference w:type="first" r:id="rId19"/>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09B" w:rsidRDefault="0023109B">
      <w:r>
        <w:separator/>
      </w:r>
    </w:p>
  </w:endnote>
  <w:endnote w:type="continuationSeparator" w:id="0">
    <w:p w:rsidR="0023109B" w:rsidRDefault="0023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C7" w:rsidRDefault="00810EC7" w:rsidP="00810EC7">
    <w:pPr>
      <w:pStyle w:val="Footer"/>
      <w:spacing w:after="60"/>
      <w:rPr>
        <w:i/>
        <w:sz w:val="18"/>
      </w:rPr>
    </w:pPr>
  </w:p>
  <w:p w:rsidR="00810EC7" w:rsidRPr="00810EC7" w:rsidRDefault="00810EC7" w:rsidP="00810EC7">
    <w:pPr>
      <w:pStyle w:val="Footer"/>
      <w:spacing w:after="60"/>
      <w:rPr>
        <w:i/>
        <w:sz w:val="18"/>
      </w:rPr>
    </w:pPr>
    <w:proofErr w:type="spellStart"/>
    <w:r>
      <w:rPr>
        <w:i/>
        <w:sz w:val="18"/>
      </w:rPr>
      <w:t>SpringSim</w:t>
    </w:r>
    <w:proofErr w:type="spellEnd"/>
    <w:r>
      <w:rPr>
        <w:i/>
        <w:sz w:val="18"/>
      </w:rPr>
      <w:t xml:space="preserve"> 201</w:t>
    </w:r>
    <w:r w:rsidR="00A87E55">
      <w:rPr>
        <w:i/>
        <w:sz w:val="18"/>
      </w:rPr>
      <w:t>8</w:t>
    </w:r>
    <w:r>
      <w:rPr>
        <w:i/>
        <w:sz w:val="18"/>
      </w:rPr>
      <w:t xml:space="preserve">, April </w:t>
    </w:r>
    <w:r w:rsidR="00A87E55">
      <w:rPr>
        <w:i/>
        <w:sz w:val="18"/>
      </w:rPr>
      <w:t>15-18</w:t>
    </w:r>
    <w:r>
      <w:rPr>
        <w:i/>
        <w:sz w:val="18"/>
      </w:rPr>
      <w:t xml:space="preserve">, </w:t>
    </w:r>
    <w:r w:rsidR="00A87E55">
      <w:rPr>
        <w:i/>
        <w:sz w:val="18"/>
      </w:rPr>
      <w:t>Baltimore, MD</w:t>
    </w:r>
    <w:r>
      <w:rPr>
        <w:i/>
        <w:sz w:val="18"/>
      </w:rPr>
      <w:t>, USA; ©201</w:t>
    </w:r>
    <w:r w:rsidR="00A87E55">
      <w:rPr>
        <w:i/>
        <w:sz w:val="18"/>
      </w:rPr>
      <w:t>8</w:t>
    </w:r>
    <w:r>
      <w:rPr>
        <w:i/>
        <w:sz w:val="18"/>
      </w:rPr>
      <w:t xml:space="preserve"> Society for Modeling and Simulation (</w:t>
    </w:r>
    <w:proofErr w:type="spellStart"/>
    <w:r>
      <w:rPr>
        <w:i/>
        <w:sz w:val="18"/>
      </w:rPr>
      <w:t>SCS</w:t>
    </w:r>
    <w:proofErr w:type="spellEnd"/>
    <w:r>
      <w:rPr>
        <w:i/>
        <w:sz w:val="18"/>
      </w:rPr>
      <w:t>) International</w:t>
    </w:r>
  </w:p>
  <w:p w:rsidR="00F3399D" w:rsidRPr="00DD119B" w:rsidRDefault="00F3399D" w:rsidP="006F39AA">
    <w:pPr>
      <w:pStyle w:val="Footer"/>
      <w:spacing w:after="60"/>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09B" w:rsidRDefault="0023109B">
      <w:r>
        <w:separator/>
      </w:r>
    </w:p>
  </w:footnote>
  <w:footnote w:type="continuationSeparator" w:id="0">
    <w:p w:rsidR="0023109B" w:rsidRDefault="00231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99D" w:rsidRPr="00A06CC0" w:rsidRDefault="00810EC7" w:rsidP="00217857">
    <w:pPr>
      <w:spacing w:line="360" w:lineRule="auto"/>
      <w:jc w:val="center"/>
      <w:rPr>
        <w:sz w:val="20"/>
      </w:rPr>
    </w:pPr>
    <w:r>
      <w:rPr>
        <w:i/>
        <w:sz w:val="20"/>
      </w:rPr>
      <w:t>Pike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7"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276657"/>
    <w:multiLevelType w:val="multilevel"/>
    <w:tmpl w:val="53DECE2A"/>
    <w:lvl w:ilvl="0">
      <w:start w:val="1"/>
      <w:numFmt w:val="decimal"/>
      <w:pStyle w:val="Heading1"/>
      <w:lvlText w:val="%1"/>
      <w:lvlJc w:val="left"/>
      <w:pPr>
        <w:ind w:left="369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44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9"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2"/>
  </w:num>
  <w:num w:numId="20">
    <w:abstractNumId w:val="15"/>
  </w:num>
  <w:num w:numId="21">
    <w:abstractNumId w:val="13"/>
  </w:num>
  <w:num w:numId="22">
    <w:abstractNumId w:val="17"/>
  </w:num>
  <w:num w:numId="23">
    <w:abstractNumId w:val="13"/>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8"/>
  </w:num>
  <w:num w:numId="2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intFractionalCharacterWidth/>
  <w:bordersDoNotSurroundHeader/>
  <w:bordersDoNotSurroundFooter/>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DB42FF-FCBF-451E-A104-C94A9C589F76}"/>
    <w:docVar w:name="dgnword-eventsink" w:val="206975520"/>
  </w:docVars>
  <w:rsids>
    <w:rsidRoot w:val="003B333C"/>
    <w:rsid w:val="00000722"/>
    <w:rsid w:val="00003455"/>
    <w:rsid w:val="00003F44"/>
    <w:rsid w:val="0000659E"/>
    <w:rsid w:val="00010B20"/>
    <w:rsid w:val="000132C7"/>
    <w:rsid w:val="0001506B"/>
    <w:rsid w:val="000411DE"/>
    <w:rsid w:val="00045440"/>
    <w:rsid w:val="0004685D"/>
    <w:rsid w:val="00047E07"/>
    <w:rsid w:val="0005034D"/>
    <w:rsid w:val="000507A4"/>
    <w:rsid w:val="00053F11"/>
    <w:rsid w:val="00054DCE"/>
    <w:rsid w:val="00055315"/>
    <w:rsid w:val="000566CE"/>
    <w:rsid w:val="00060813"/>
    <w:rsid w:val="0007289C"/>
    <w:rsid w:val="00074054"/>
    <w:rsid w:val="00074D50"/>
    <w:rsid w:val="000754CF"/>
    <w:rsid w:val="00082D99"/>
    <w:rsid w:val="0008435C"/>
    <w:rsid w:val="00086CD1"/>
    <w:rsid w:val="000910F3"/>
    <w:rsid w:val="00092374"/>
    <w:rsid w:val="00092AAF"/>
    <w:rsid w:val="000A0EE0"/>
    <w:rsid w:val="000A2E6E"/>
    <w:rsid w:val="000B2B5A"/>
    <w:rsid w:val="000C1988"/>
    <w:rsid w:val="000E5FEF"/>
    <w:rsid w:val="000E63E2"/>
    <w:rsid w:val="000E6C2E"/>
    <w:rsid w:val="000F0D30"/>
    <w:rsid w:val="000F4F0E"/>
    <w:rsid w:val="000F718E"/>
    <w:rsid w:val="00100031"/>
    <w:rsid w:val="00105CDC"/>
    <w:rsid w:val="00107AA6"/>
    <w:rsid w:val="0011443E"/>
    <w:rsid w:val="00116663"/>
    <w:rsid w:val="00121214"/>
    <w:rsid w:val="00121452"/>
    <w:rsid w:val="001224DF"/>
    <w:rsid w:val="00134D57"/>
    <w:rsid w:val="00136A03"/>
    <w:rsid w:val="00140E0C"/>
    <w:rsid w:val="0014268F"/>
    <w:rsid w:val="00142FE9"/>
    <w:rsid w:val="00154D09"/>
    <w:rsid w:val="0016566A"/>
    <w:rsid w:val="0016766C"/>
    <w:rsid w:val="0017277A"/>
    <w:rsid w:val="00181F5F"/>
    <w:rsid w:val="001867BE"/>
    <w:rsid w:val="001873E3"/>
    <w:rsid w:val="001915F4"/>
    <w:rsid w:val="00193429"/>
    <w:rsid w:val="00195C13"/>
    <w:rsid w:val="001A0F27"/>
    <w:rsid w:val="001A1852"/>
    <w:rsid w:val="001A3A4C"/>
    <w:rsid w:val="001A7AED"/>
    <w:rsid w:val="001A7B4F"/>
    <w:rsid w:val="001B027A"/>
    <w:rsid w:val="001B2B4C"/>
    <w:rsid w:val="001B3DD5"/>
    <w:rsid w:val="001B6949"/>
    <w:rsid w:val="001B77A0"/>
    <w:rsid w:val="001C7FC2"/>
    <w:rsid w:val="001D0FDF"/>
    <w:rsid w:val="001D2EC5"/>
    <w:rsid w:val="001D34D5"/>
    <w:rsid w:val="001D6E19"/>
    <w:rsid w:val="001E187B"/>
    <w:rsid w:val="001E4705"/>
    <w:rsid w:val="001E6835"/>
    <w:rsid w:val="001F1E6B"/>
    <w:rsid w:val="001F2400"/>
    <w:rsid w:val="001F3761"/>
    <w:rsid w:val="001F6CDA"/>
    <w:rsid w:val="001F7428"/>
    <w:rsid w:val="001F7674"/>
    <w:rsid w:val="00204202"/>
    <w:rsid w:val="00206C5F"/>
    <w:rsid w:val="00210831"/>
    <w:rsid w:val="0021344E"/>
    <w:rsid w:val="00215413"/>
    <w:rsid w:val="0021691D"/>
    <w:rsid w:val="002170B7"/>
    <w:rsid w:val="00217857"/>
    <w:rsid w:val="002202C1"/>
    <w:rsid w:val="00220434"/>
    <w:rsid w:val="00222E5C"/>
    <w:rsid w:val="002242FA"/>
    <w:rsid w:val="0022433B"/>
    <w:rsid w:val="00227EA2"/>
    <w:rsid w:val="0023109B"/>
    <w:rsid w:val="00231C80"/>
    <w:rsid w:val="0023287C"/>
    <w:rsid w:val="0023301C"/>
    <w:rsid w:val="002331DB"/>
    <w:rsid w:val="00233BFE"/>
    <w:rsid w:val="00233C87"/>
    <w:rsid w:val="0023649E"/>
    <w:rsid w:val="00240A0A"/>
    <w:rsid w:val="00246D5A"/>
    <w:rsid w:val="0024786B"/>
    <w:rsid w:val="002479D3"/>
    <w:rsid w:val="00247D37"/>
    <w:rsid w:val="00252305"/>
    <w:rsid w:val="002541ED"/>
    <w:rsid w:val="00255B59"/>
    <w:rsid w:val="00260696"/>
    <w:rsid w:val="00263534"/>
    <w:rsid w:val="00263D84"/>
    <w:rsid w:val="0026667E"/>
    <w:rsid w:val="00271C94"/>
    <w:rsid w:val="002738D5"/>
    <w:rsid w:val="00274DE7"/>
    <w:rsid w:val="0027603D"/>
    <w:rsid w:val="00276AB9"/>
    <w:rsid w:val="002A0578"/>
    <w:rsid w:val="002A0F8C"/>
    <w:rsid w:val="002A4DB4"/>
    <w:rsid w:val="002A74B9"/>
    <w:rsid w:val="002B1B9E"/>
    <w:rsid w:val="002B75A6"/>
    <w:rsid w:val="002C411C"/>
    <w:rsid w:val="002D47BC"/>
    <w:rsid w:val="002D5736"/>
    <w:rsid w:val="002D7A7A"/>
    <w:rsid w:val="002E11AF"/>
    <w:rsid w:val="002E6280"/>
    <w:rsid w:val="002E6BA6"/>
    <w:rsid w:val="002E7337"/>
    <w:rsid w:val="002F3D49"/>
    <w:rsid w:val="00302742"/>
    <w:rsid w:val="0030279E"/>
    <w:rsid w:val="00303248"/>
    <w:rsid w:val="00304DD5"/>
    <w:rsid w:val="003120B4"/>
    <w:rsid w:val="00315E12"/>
    <w:rsid w:val="00316774"/>
    <w:rsid w:val="00321F83"/>
    <w:rsid w:val="003302A1"/>
    <w:rsid w:val="00331E66"/>
    <w:rsid w:val="003364B5"/>
    <w:rsid w:val="0033675B"/>
    <w:rsid w:val="00340AB1"/>
    <w:rsid w:val="00357E69"/>
    <w:rsid w:val="00357FAB"/>
    <w:rsid w:val="00363A8E"/>
    <w:rsid w:val="00367E5A"/>
    <w:rsid w:val="00371890"/>
    <w:rsid w:val="00371CFC"/>
    <w:rsid w:val="00375D55"/>
    <w:rsid w:val="00376FF0"/>
    <w:rsid w:val="00377AFF"/>
    <w:rsid w:val="00381E4B"/>
    <w:rsid w:val="00382BD0"/>
    <w:rsid w:val="003855B7"/>
    <w:rsid w:val="00386F84"/>
    <w:rsid w:val="0038766B"/>
    <w:rsid w:val="003959E6"/>
    <w:rsid w:val="00395A4E"/>
    <w:rsid w:val="00396E5B"/>
    <w:rsid w:val="003A1E5A"/>
    <w:rsid w:val="003A50EB"/>
    <w:rsid w:val="003A5256"/>
    <w:rsid w:val="003A7155"/>
    <w:rsid w:val="003B1CD2"/>
    <w:rsid w:val="003B206F"/>
    <w:rsid w:val="003B3058"/>
    <w:rsid w:val="003B333C"/>
    <w:rsid w:val="003B51D5"/>
    <w:rsid w:val="003B6318"/>
    <w:rsid w:val="003B79D0"/>
    <w:rsid w:val="003C205F"/>
    <w:rsid w:val="003C245F"/>
    <w:rsid w:val="003C477D"/>
    <w:rsid w:val="003C705C"/>
    <w:rsid w:val="003D3173"/>
    <w:rsid w:val="003D41A2"/>
    <w:rsid w:val="003D535F"/>
    <w:rsid w:val="003D6A17"/>
    <w:rsid w:val="003D76CF"/>
    <w:rsid w:val="003E1662"/>
    <w:rsid w:val="003E54CC"/>
    <w:rsid w:val="003E6F0D"/>
    <w:rsid w:val="003F3F84"/>
    <w:rsid w:val="003F5E1C"/>
    <w:rsid w:val="003F68C5"/>
    <w:rsid w:val="003F7451"/>
    <w:rsid w:val="00404817"/>
    <w:rsid w:val="004117E8"/>
    <w:rsid w:val="00415776"/>
    <w:rsid w:val="00416E6E"/>
    <w:rsid w:val="00437247"/>
    <w:rsid w:val="00437E05"/>
    <w:rsid w:val="00440CB9"/>
    <w:rsid w:val="004411CA"/>
    <w:rsid w:val="00444E47"/>
    <w:rsid w:val="00445187"/>
    <w:rsid w:val="00446852"/>
    <w:rsid w:val="00450B76"/>
    <w:rsid w:val="00452D5A"/>
    <w:rsid w:val="00462A3A"/>
    <w:rsid w:val="004669D7"/>
    <w:rsid w:val="00474832"/>
    <w:rsid w:val="004821C6"/>
    <w:rsid w:val="00485584"/>
    <w:rsid w:val="0048625F"/>
    <w:rsid w:val="00490DBE"/>
    <w:rsid w:val="00493497"/>
    <w:rsid w:val="00494E11"/>
    <w:rsid w:val="004A0963"/>
    <w:rsid w:val="004B2B1D"/>
    <w:rsid w:val="004B7B21"/>
    <w:rsid w:val="004C2223"/>
    <w:rsid w:val="004C6293"/>
    <w:rsid w:val="004C66A7"/>
    <w:rsid w:val="004C7498"/>
    <w:rsid w:val="004D05A7"/>
    <w:rsid w:val="004D0D0F"/>
    <w:rsid w:val="004D68D1"/>
    <w:rsid w:val="004E22DF"/>
    <w:rsid w:val="004E39E3"/>
    <w:rsid w:val="004E47A1"/>
    <w:rsid w:val="004E4CD4"/>
    <w:rsid w:val="004E5CF9"/>
    <w:rsid w:val="004E7A2E"/>
    <w:rsid w:val="004F3B18"/>
    <w:rsid w:val="004F5731"/>
    <w:rsid w:val="00503DF9"/>
    <w:rsid w:val="00511E3F"/>
    <w:rsid w:val="005133DE"/>
    <w:rsid w:val="00517953"/>
    <w:rsid w:val="005201A0"/>
    <w:rsid w:val="005257D3"/>
    <w:rsid w:val="00525F11"/>
    <w:rsid w:val="00525F1F"/>
    <w:rsid w:val="005263C3"/>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6BDA"/>
    <w:rsid w:val="00580A29"/>
    <w:rsid w:val="00581545"/>
    <w:rsid w:val="00590B37"/>
    <w:rsid w:val="00591D4A"/>
    <w:rsid w:val="00593DDC"/>
    <w:rsid w:val="005A0737"/>
    <w:rsid w:val="005A0A58"/>
    <w:rsid w:val="005A1D42"/>
    <w:rsid w:val="005A34C6"/>
    <w:rsid w:val="005B0F35"/>
    <w:rsid w:val="005B765A"/>
    <w:rsid w:val="005D0E56"/>
    <w:rsid w:val="005D722A"/>
    <w:rsid w:val="005F7BB5"/>
    <w:rsid w:val="006019FD"/>
    <w:rsid w:val="00602447"/>
    <w:rsid w:val="006071C0"/>
    <w:rsid w:val="0061028F"/>
    <w:rsid w:val="00617231"/>
    <w:rsid w:val="00617CBB"/>
    <w:rsid w:val="00620AE8"/>
    <w:rsid w:val="00623103"/>
    <w:rsid w:val="00634A52"/>
    <w:rsid w:val="006360A2"/>
    <w:rsid w:val="00637AFD"/>
    <w:rsid w:val="00640C15"/>
    <w:rsid w:val="00642872"/>
    <w:rsid w:val="006470EE"/>
    <w:rsid w:val="006471DB"/>
    <w:rsid w:val="00651864"/>
    <w:rsid w:val="006654F6"/>
    <w:rsid w:val="006667D8"/>
    <w:rsid w:val="00666FCD"/>
    <w:rsid w:val="00667D76"/>
    <w:rsid w:val="006728BF"/>
    <w:rsid w:val="00691261"/>
    <w:rsid w:val="0069262B"/>
    <w:rsid w:val="006A3272"/>
    <w:rsid w:val="006B0FB7"/>
    <w:rsid w:val="006B25A2"/>
    <w:rsid w:val="006C090F"/>
    <w:rsid w:val="006C1A8D"/>
    <w:rsid w:val="006C282B"/>
    <w:rsid w:val="006C445F"/>
    <w:rsid w:val="006C507F"/>
    <w:rsid w:val="006D44FE"/>
    <w:rsid w:val="006D7F2B"/>
    <w:rsid w:val="006E5D87"/>
    <w:rsid w:val="006F39AA"/>
    <w:rsid w:val="006F50F8"/>
    <w:rsid w:val="006F76B7"/>
    <w:rsid w:val="006F7988"/>
    <w:rsid w:val="00700521"/>
    <w:rsid w:val="007005A0"/>
    <w:rsid w:val="00702ABE"/>
    <w:rsid w:val="007039AD"/>
    <w:rsid w:val="00711483"/>
    <w:rsid w:val="0071220E"/>
    <w:rsid w:val="007216B9"/>
    <w:rsid w:val="00722AEA"/>
    <w:rsid w:val="00732DE8"/>
    <w:rsid w:val="007368D1"/>
    <w:rsid w:val="00741ABD"/>
    <w:rsid w:val="00742DC9"/>
    <w:rsid w:val="007435AD"/>
    <w:rsid w:val="00743807"/>
    <w:rsid w:val="007453D1"/>
    <w:rsid w:val="00747ED9"/>
    <w:rsid w:val="007534CF"/>
    <w:rsid w:val="00753C7D"/>
    <w:rsid w:val="00770CC6"/>
    <w:rsid w:val="00772CC3"/>
    <w:rsid w:val="0078405B"/>
    <w:rsid w:val="0078686A"/>
    <w:rsid w:val="00787D28"/>
    <w:rsid w:val="00794EEE"/>
    <w:rsid w:val="00795469"/>
    <w:rsid w:val="007A08CC"/>
    <w:rsid w:val="007B4962"/>
    <w:rsid w:val="007C7216"/>
    <w:rsid w:val="007C7735"/>
    <w:rsid w:val="007D15EB"/>
    <w:rsid w:val="007D1B86"/>
    <w:rsid w:val="007D7563"/>
    <w:rsid w:val="007E4F00"/>
    <w:rsid w:val="007F2812"/>
    <w:rsid w:val="007F5A75"/>
    <w:rsid w:val="007F74A9"/>
    <w:rsid w:val="007F7B9A"/>
    <w:rsid w:val="00801522"/>
    <w:rsid w:val="00805658"/>
    <w:rsid w:val="00805CA9"/>
    <w:rsid w:val="00810EC7"/>
    <w:rsid w:val="00821562"/>
    <w:rsid w:val="00821741"/>
    <w:rsid w:val="008242D3"/>
    <w:rsid w:val="00831D36"/>
    <w:rsid w:val="00833617"/>
    <w:rsid w:val="00834AA7"/>
    <w:rsid w:val="00836CE3"/>
    <w:rsid w:val="0084062C"/>
    <w:rsid w:val="008406DC"/>
    <w:rsid w:val="008438A8"/>
    <w:rsid w:val="00850EEA"/>
    <w:rsid w:val="00852E49"/>
    <w:rsid w:val="00860899"/>
    <w:rsid w:val="00866559"/>
    <w:rsid w:val="0087269D"/>
    <w:rsid w:val="00872944"/>
    <w:rsid w:val="008743A8"/>
    <w:rsid w:val="00880376"/>
    <w:rsid w:val="008855D0"/>
    <w:rsid w:val="00886B5A"/>
    <w:rsid w:val="008876DF"/>
    <w:rsid w:val="008942E2"/>
    <w:rsid w:val="008944A0"/>
    <w:rsid w:val="00896806"/>
    <w:rsid w:val="00897302"/>
    <w:rsid w:val="00897677"/>
    <w:rsid w:val="008A0798"/>
    <w:rsid w:val="008A2C52"/>
    <w:rsid w:val="008B4212"/>
    <w:rsid w:val="008B4F49"/>
    <w:rsid w:val="008B7E4D"/>
    <w:rsid w:val="008D29AB"/>
    <w:rsid w:val="008D485C"/>
    <w:rsid w:val="008D4EA1"/>
    <w:rsid w:val="008D7D61"/>
    <w:rsid w:val="008E0539"/>
    <w:rsid w:val="008E491A"/>
    <w:rsid w:val="008E7C57"/>
    <w:rsid w:val="009006BE"/>
    <w:rsid w:val="00903453"/>
    <w:rsid w:val="00907239"/>
    <w:rsid w:val="00910AEC"/>
    <w:rsid w:val="00917636"/>
    <w:rsid w:val="00920AFB"/>
    <w:rsid w:val="0092107D"/>
    <w:rsid w:val="0093165A"/>
    <w:rsid w:val="00934292"/>
    <w:rsid w:val="0094391F"/>
    <w:rsid w:val="00946B61"/>
    <w:rsid w:val="00946F79"/>
    <w:rsid w:val="00951131"/>
    <w:rsid w:val="009516AF"/>
    <w:rsid w:val="00955C55"/>
    <w:rsid w:val="009577AE"/>
    <w:rsid w:val="0096020E"/>
    <w:rsid w:val="00961CEF"/>
    <w:rsid w:val="00964E8A"/>
    <w:rsid w:val="00966659"/>
    <w:rsid w:val="009712EB"/>
    <w:rsid w:val="00976AAC"/>
    <w:rsid w:val="00977192"/>
    <w:rsid w:val="00985458"/>
    <w:rsid w:val="00986BB6"/>
    <w:rsid w:val="009927E0"/>
    <w:rsid w:val="00996633"/>
    <w:rsid w:val="0099719D"/>
    <w:rsid w:val="00997D4A"/>
    <w:rsid w:val="00997FFB"/>
    <w:rsid w:val="009A0569"/>
    <w:rsid w:val="009A2B5C"/>
    <w:rsid w:val="009A3C04"/>
    <w:rsid w:val="009B0A27"/>
    <w:rsid w:val="009B1508"/>
    <w:rsid w:val="009B4374"/>
    <w:rsid w:val="009B65A5"/>
    <w:rsid w:val="009B7BD4"/>
    <w:rsid w:val="009C546F"/>
    <w:rsid w:val="009D4845"/>
    <w:rsid w:val="009D5D10"/>
    <w:rsid w:val="009D7F38"/>
    <w:rsid w:val="009E0DAA"/>
    <w:rsid w:val="009F1B08"/>
    <w:rsid w:val="009F2658"/>
    <w:rsid w:val="009F3C90"/>
    <w:rsid w:val="009F653C"/>
    <w:rsid w:val="009F79A5"/>
    <w:rsid w:val="009F7EE4"/>
    <w:rsid w:val="00A06CC0"/>
    <w:rsid w:val="00A11276"/>
    <w:rsid w:val="00A11A0B"/>
    <w:rsid w:val="00A2073A"/>
    <w:rsid w:val="00A20D4D"/>
    <w:rsid w:val="00A22E64"/>
    <w:rsid w:val="00A24C99"/>
    <w:rsid w:val="00A26CBA"/>
    <w:rsid w:val="00A35AF4"/>
    <w:rsid w:val="00A42B25"/>
    <w:rsid w:val="00A45321"/>
    <w:rsid w:val="00A509F6"/>
    <w:rsid w:val="00A50FD8"/>
    <w:rsid w:val="00A5687C"/>
    <w:rsid w:val="00A56F64"/>
    <w:rsid w:val="00A62F5E"/>
    <w:rsid w:val="00A6402F"/>
    <w:rsid w:val="00A678CC"/>
    <w:rsid w:val="00A70793"/>
    <w:rsid w:val="00A717CC"/>
    <w:rsid w:val="00A74865"/>
    <w:rsid w:val="00A750D8"/>
    <w:rsid w:val="00A81093"/>
    <w:rsid w:val="00A86A4B"/>
    <w:rsid w:val="00A86CD2"/>
    <w:rsid w:val="00A87E55"/>
    <w:rsid w:val="00AA105A"/>
    <w:rsid w:val="00AB32D8"/>
    <w:rsid w:val="00AB40AF"/>
    <w:rsid w:val="00AC2642"/>
    <w:rsid w:val="00AC2FDF"/>
    <w:rsid w:val="00AD580B"/>
    <w:rsid w:val="00AD756C"/>
    <w:rsid w:val="00AD7E69"/>
    <w:rsid w:val="00AE42DE"/>
    <w:rsid w:val="00AE46ED"/>
    <w:rsid w:val="00B015E3"/>
    <w:rsid w:val="00B0172E"/>
    <w:rsid w:val="00B03BAD"/>
    <w:rsid w:val="00B06FF5"/>
    <w:rsid w:val="00B135FE"/>
    <w:rsid w:val="00B14DD6"/>
    <w:rsid w:val="00B20F62"/>
    <w:rsid w:val="00B21CE6"/>
    <w:rsid w:val="00B24A1C"/>
    <w:rsid w:val="00B33436"/>
    <w:rsid w:val="00B36B35"/>
    <w:rsid w:val="00B37B0A"/>
    <w:rsid w:val="00B50FF6"/>
    <w:rsid w:val="00B5566F"/>
    <w:rsid w:val="00B5771C"/>
    <w:rsid w:val="00B6164B"/>
    <w:rsid w:val="00B632AA"/>
    <w:rsid w:val="00B7143A"/>
    <w:rsid w:val="00B715D5"/>
    <w:rsid w:val="00B739C3"/>
    <w:rsid w:val="00B81C9E"/>
    <w:rsid w:val="00B83E9D"/>
    <w:rsid w:val="00B85D2C"/>
    <w:rsid w:val="00B93FB6"/>
    <w:rsid w:val="00BA1A81"/>
    <w:rsid w:val="00BB33BD"/>
    <w:rsid w:val="00BB3660"/>
    <w:rsid w:val="00BC0B20"/>
    <w:rsid w:val="00BC29B3"/>
    <w:rsid w:val="00BC384C"/>
    <w:rsid w:val="00BC60B9"/>
    <w:rsid w:val="00BC6145"/>
    <w:rsid w:val="00BD49DB"/>
    <w:rsid w:val="00BD553E"/>
    <w:rsid w:val="00BD684E"/>
    <w:rsid w:val="00BD68A2"/>
    <w:rsid w:val="00BE08D1"/>
    <w:rsid w:val="00BF3A26"/>
    <w:rsid w:val="00BF3D3C"/>
    <w:rsid w:val="00BF6915"/>
    <w:rsid w:val="00C059BF"/>
    <w:rsid w:val="00C062AC"/>
    <w:rsid w:val="00C0695B"/>
    <w:rsid w:val="00C162CC"/>
    <w:rsid w:val="00C211D2"/>
    <w:rsid w:val="00C21EA3"/>
    <w:rsid w:val="00C22820"/>
    <w:rsid w:val="00C3079B"/>
    <w:rsid w:val="00C33B7A"/>
    <w:rsid w:val="00C37074"/>
    <w:rsid w:val="00C37773"/>
    <w:rsid w:val="00C41ABD"/>
    <w:rsid w:val="00C43C79"/>
    <w:rsid w:val="00C470FD"/>
    <w:rsid w:val="00C473D6"/>
    <w:rsid w:val="00C5009C"/>
    <w:rsid w:val="00C62B96"/>
    <w:rsid w:val="00C65EB3"/>
    <w:rsid w:val="00C7002A"/>
    <w:rsid w:val="00C72B52"/>
    <w:rsid w:val="00C83770"/>
    <w:rsid w:val="00C866DE"/>
    <w:rsid w:val="00C911AA"/>
    <w:rsid w:val="00C91465"/>
    <w:rsid w:val="00C930E8"/>
    <w:rsid w:val="00C93B0C"/>
    <w:rsid w:val="00C9649E"/>
    <w:rsid w:val="00C97555"/>
    <w:rsid w:val="00CA1E96"/>
    <w:rsid w:val="00CA2B20"/>
    <w:rsid w:val="00CA3CF7"/>
    <w:rsid w:val="00CA458A"/>
    <w:rsid w:val="00CA4CC7"/>
    <w:rsid w:val="00CA6C75"/>
    <w:rsid w:val="00CA7CA1"/>
    <w:rsid w:val="00CB00B7"/>
    <w:rsid w:val="00CB3D69"/>
    <w:rsid w:val="00CB4C8B"/>
    <w:rsid w:val="00CC27C2"/>
    <w:rsid w:val="00CC648D"/>
    <w:rsid w:val="00CD34F5"/>
    <w:rsid w:val="00CE151B"/>
    <w:rsid w:val="00CE19A2"/>
    <w:rsid w:val="00CE37FA"/>
    <w:rsid w:val="00CE39E5"/>
    <w:rsid w:val="00CE4D8B"/>
    <w:rsid w:val="00CE647D"/>
    <w:rsid w:val="00CE79BF"/>
    <w:rsid w:val="00D15F07"/>
    <w:rsid w:val="00D1677C"/>
    <w:rsid w:val="00D24BE6"/>
    <w:rsid w:val="00D27C20"/>
    <w:rsid w:val="00D300B4"/>
    <w:rsid w:val="00D30A31"/>
    <w:rsid w:val="00D3155E"/>
    <w:rsid w:val="00D319E6"/>
    <w:rsid w:val="00D35245"/>
    <w:rsid w:val="00D4125C"/>
    <w:rsid w:val="00D42162"/>
    <w:rsid w:val="00D51268"/>
    <w:rsid w:val="00D51904"/>
    <w:rsid w:val="00D51E61"/>
    <w:rsid w:val="00D55B7B"/>
    <w:rsid w:val="00D56595"/>
    <w:rsid w:val="00D61DE8"/>
    <w:rsid w:val="00D62169"/>
    <w:rsid w:val="00D63271"/>
    <w:rsid w:val="00D677BE"/>
    <w:rsid w:val="00D805C3"/>
    <w:rsid w:val="00D90396"/>
    <w:rsid w:val="00DA7A0E"/>
    <w:rsid w:val="00DB2210"/>
    <w:rsid w:val="00DB4432"/>
    <w:rsid w:val="00DC14A9"/>
    <w:rsid w:val="00DC23F5"/>
    <w:rsid w:val="00DD0E2B"/>
    <w:rsid w:val="00DD119B"/>
    <w:rsid w:val="00DE2425"/>
    <w:rsid w:val="00DE46AF"/>
    <w:rsid w:val="00DE561E"/>
    <w:rsid w:val="00DE7169"/>
    <w:rsid w:val="00DF1A2C"/>
    <w:rsid w:val="00DF6038"/>
    <w:rsid w:val="00DF778F"/>
    <w:rsid w:val="00E00910"/>
    <w:rsid w:val="00E027E1"/>
    <w:rsid w:val="00E0590A"/>
    <w:rsid w:val="00E0717A"/>
    <w:rsid w:val="00E15B25"/>
    <w:rsid w:val="00E16814"/>
    <w:rsid w:val="00E17989"/>
    <w:rsid w:val="00E24536"/>
    <w:rsid w:val="00E25F34"/>
    <w:rsid w:val="00E309BB"/>
    <w:rsid w:val="00E42B02"/>
    <w:rsid w:val="00E4560F"/>
    <w:rsid w:val="00E5163C"/>
    <w:rsid w:val="00E54E18"/>
    <w:rsid w:val="00E5760F"/>
    <w:rsid w:val="00E6582F"/>
    <w:rsid w:val="00E66A2A"/>
    <w:rsid w:val="00E6779B"/>
    <w:rsid w:val="00E70DAC"/>
    <w:rsid w:val="00E723BB"/>
    <w:rsid w:val="00E74222"/>
    <w:rsid w:val="00E74F94"/>
    <w:rsid w:val="00E77F87"/>
    <w:rsid w:val="00E90F1F"/>
    <w:rsid w:val="00E955B3"/>
    <w:rsid w:val="00E96842"/>
    <w:rsid w:val="00E96BE6"/>
    <w:rsid w:val="00EA5679"/>
    <w:rsid w:val="00EB50DB"/>
    <w:rsid w:val="00EB6425"/>
    <w:rsid w:val="00EC393C"/>
    <w:rsid w:val="00EC5E95"/>
    <w:rsid w:val="00EC6C92"/>
    <w:rsid w:val="00ED1F04"/>
    <w:rsid w:val="00ED32F9"/>
    <w:rsid w:val="00EE0A17"/>
    <w:rsid w:val="00EE0EA3"/>
    <w:rsid w:val="00EF7055"/>
    <w:rsid w:val="00F0227C"/>
    <w:rsid w:val="00F07030"/>
    <w:rsid w:val="00F07151"/>
    <w:rsid w:val="00F11E53"/>
    <w:rsid w:val="00F13BA0"/>
    <w:rsid w:val="00F154EE"/>
    <w:rsid w:val="00F17634"/>
    <w:rsid w:val="00F17E20"/>
    <w:rsid w:val="00F26AE2"/>
    <w:rsid w:val="00F27019"/>
    <w:rsid w:val="00F3399D"/>
    <w:rsid w:val="00F35A4E"/>
    <w:rsid w:val="00F404A8"/>
    <w:rsid w:val="00F457DF"/>
    <w:rsid w:val="00F46BBB"/>
    <w:rsid w:val="00F565E1"/>
    <w:rsid w:val="00F56849"/>
    <w:rsid w:val="00F6099F"/>
    <w:rsid w:val="00F63158"/>
    <w:rsid w:val="00F63D8F"/>
    <w:rsid w:val="00F67BC4"/>
    <w:rsid w:val="00F67C79"/>
    <w:rsid w:val="00F744CD"/>
    <w:rsid w:val="00F76BB8"/>
    <w:rsid w:val="00F81587"/>
    <w:rsid w:val="00F82D80"/>
    <w:rsid w:val="00F8463F"/>
    <w:rsid w:val="00F956B6"/>
    <w:rsid w:val="00FA0187"/>
    <w:rsid w:val="00FA3A95"/>
    <w:rsid w:val="00FA423E"/>
    <w:rsid w:val="00FA5753"/>
    <w:rsid w:val="00FB16D9"/>
    <w:rsid w:val="00FB6D61"/>
    <w:rsid w:val="00FC57C4"/>
    <w:rsid w:val="00FD0076"/>
    <w:rsid w:val="00FD0549"/>
    <w:rsid w:val="00FD5F1B"/>
    <w:rsid w:val="00FD7375"/>
    <w:rsid w:val="00FD788A"/>
    <w:rsid w:val="00FE21EC"/>
    <w:rsid w:val="00FE31F3"/>
    <w:rsid w:val="00FF141A"/>
    <w:rsid w:val="00FF2539"/>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D1702"/>
  <w15:docId w15:val="{320AA9BE-FBF1-45E6-8F81-15EC0B8E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0EC7"/>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810EC7"/>
    <w:pPr>
      <w:keepNext/>
      <w:numPr>
        <w:numId w:val="28"/>
      </w:numPr>
      <w:tabs>
        <w:tab w:val="clear" w:pos="360"/>
        <w:tab w:val="clear" w:pos="720"/>
        <w:tab w:val="left" w:pos="426"/>
      </w:tabs>
      <w:spacing w:before="360"/>
      <w:ind w:left="450" w:hanging="450"/>
      <w:jc w:val="left"/>
      <w:outlineLvl w:val="0"/>
    </w:pPr>
    <w:rPr>
      <w:b/>
      <w:caps/>
    </w:rPr>
  </w:style>
  <w:style w:type="paragraph" w:styleId="Heading2">
    <w:name w:val="heading 2"/>
    <w:basedOn w:val="Normal"/>
    <w:next w:val="Normal"/>
    <w:qFormat/>
    <w:rsid w:val="00810EC7"/>
    <w:pPr>
      <w:keepNext/>
      <w:numPr>
        <w:ilvl w:val="1"/>
        <w:numId w:val="28"/>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810EC7"/>
    <w:pPr>
      <w:keepNext/>
      <w:numPr>
        <w:ilvl w:val="2"/>
        <w:numId w:val="28"/>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810EC7"/>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810EC7"/>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810EC7"/>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810EC7"/>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810EC7"/>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810EC7"/>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rsid w:val="00810E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EC7"/>
  </w:style>
  <w:style w:type="paragraph" w:styleId="NormalIndent">
    <w:name w:val="Normal Indent"/>
    <w:basedOn w:val="Normal"/>
    <w:link w:val="NormalIndentChar"/>
    <w:uiPriority w:val="99"/>
    <w:rsid w:val="00810EC7"/>
    <w:pPr>
      <w:ind w:firstLine="360"/>
    </w:pPr>
  </w:style>
  <w:style w:type="character" w:customStyle="1" w:styleId="NormalIndentChar">
    <w:name w:val="Normal Indent Char"/>
    <w:link w:val="NormalIndent"/>
    <w:uiPriority w:val="99"/>
    <w:rsid w:val="00810EC7"/>
    <w:rPr>
      <w:rFonts w:eastAsiaTheme="minorEastAsia"/>
      <w:snapToGrid w:val="0"/>
      <w:sz w:val="22"/>
    </w:rPr>
  </w:style>
  <w:style w:type="paragraph" w:customStyle="1" w:styleId="Heading">
    <w:name w:val="Heading"/>
    <w:basedOn w:val="Normal"/>
    <w:next w:val="Normal"/>
    <w:link w:val="HeadingChar"/>
    <w:rsid w:val="00810EC7"/>
    <w:pPr>
      <w:keepNext/>
      <w:spacing w:before="360"/>
      <w:jc w:val="left"/>
    </w:pPr>
    <w:rPr>
      <w:b/>
      <w:caps/>
    </w:rPr>
  </w:style>
  <w:style w:type="paragraph" w:customStyle="1" w:styleId="Program">
    <w:name w:val="Program"/>
    <w:basedOn w:val="Normal"/>
    <w:rsid w:val="00810EC7"/>
    <w:pPr>
      <w:ind w:left="360"/>
    </w:pPr>
    <w:rPr>
      <w:rFonts w:ascii="Courier New" w:hAnsi="Courier New"/>
      <w:sz w:val="18"/>
    </w:rPr>
  </w:style>
  <w:style w:type="paragraph" w:customStyle="1" w:styleId="ProgramStart">
    <w:name w:val="ProgramStart"/>
    <w:basedOn w:val="Program"/>
    <w:rsid w:val="00810EC7"/>
  </w:style>
  <w:style w:type="paragraph" w:customStyle="1" w:styleId="ProgramEnd">
    <w:name w:val="ProgramEnd"/>
    <w:basedOn w:val="Program"/>
    <w:rsid w:val="00810EC7"/>
    <w:pPr>
      <w:spacing w:after="40"/>
    </w:pPr>
  </w:style>
  <w:style w:type="paragraph" w:customStyle="1" w:styleId="ProgramBoth">
    <w:name w:val="ProgramBoth"/>
    <w:basedOn w:val="Normal"/>
    <w:rsid w:val="00810EC7"/>
    <w:pPr>
      <w:spacing w:after="40"/>
      <w:ind w:left="360"/>
    </w:pPr>
    <w:rPr>
      <w:rFonts w:ascii="Courier New" w:hAnsi="Courier New"/>
      <w:sz w:val="18"/>
    </w:rPr>
  </w:style>
  <w:style w:type="paragraph" w:customStyle="1" w:styleId="Equation">
    <w:name w:val="Equation"/>
    <w:basedOn w:val="Normal"/>
    <w:rsid w:val="00810EC7"/>
    <w:pPr>
      <w:tabs>
        <w:tab w:val="clear" w:pos="360"/>
        <w:tab w:val="clear" w:pos="720"/>
        <w:tab w:val="clear" w:pos="1080"/>
        <w:tab w:val="center" w:pos="2380"/>
        <w:tab w:val="right" w:pos="4760"/>
      </w:tabs>
    </w:pPr>
  </w:style>
  <w:style w:type="character" w:customStyle="1" w:styleId="style91">
    <w:name w:val="style91"/>
    <w:rsid w:val="00810EC7"/>
    <w:rPr>
      <w:sz w:val="24"/>
      <w:szCs w:val="24"/>
    </w:rPr>
  </w:style>
  <w:style w:type="paragraph" w:customStyle="1" w:styleId="Reference">
    <w:name w:val="Reference"/>
    <w:basedOn w:val="Normal"/>
    <w:rsid w:val="00810EC7"/>
    <w:pPr>
      <w:spacing w:after="80"/>
      <w:ind w:left="357" w:hanging="357"/>
    </w:pPr>
  </w:style>
  <w:style w:type="paragraph" w:styleId="Title">
    <w:name w:val="Title"/>
    <w:basedOn w:val="Normal"/>
    <w:qFormat/>
    <w:rsid w:val="00810EC7"/>
    <w:pPr>
      <w:spacing w:after="120" w:line="276" w:lineRule="auto"/>
      <w:jc w:val="center"/>
    </w:pPr>
    <w:rPr>
      <w:b/>
      <w:caps/>
      <w:sz w:val="24"/>
      <w:szCs w:val="22"/>
    </w:rPr>
  </w:style>
  <w:style w:type="paragraph" w:customStyle="1" w:styleId="FigureLabel">
    <w:name w:val="Figure Label"/>
    <w:basedOn w:val="Normal"/>
    <w:next w:val="NormalIndent"/>
    <w:rsid w:val="00810EC7"/>
    <w:pPr>
      <w:spacing w:before="120" w:after="240"/>
      <w:jc w:val="center"/>
    </w:pPr>
  </w:style>
  <w:style w:type="paragraph" w:customStyle="1" w:styleId="Biography">
    <w:name w:val="Biography"/>
    <w:basedOn w:val="Normal"/>
    <w:rsid w:val="00810EC7"/>
    <w:pPr>
      <w:spacing w:after="240"/>
    </w:pPr>
  </w:style>
  <w:style w:type="paragraph" w:customStyle="1" w:styleId="Appendices">
    <w:name w:val="Appendices"/>
    <w:basedOn w:val="Heading1"/>
    <w:next w:val="Normal"/>
    <w:rsid w:val="00810EC7"/>
    <w:pPr>
      <w:numPr>
        <w:numId w:val="16"/>
      </w:numPr>
    </w:pPr>
  </w:style>
  <w:style w:type="character" w:styleId="CommentReference">
    <w:name w:val="annotation reference"/>
    <w:semiHidden/>
    <w:rsid w:val="00810EC7"/>
    <w:rPr>
      <w:sz w:val="16"/>
    </w:rPr>
  </w:style>
  <w:style w:type="paragraph" w:styleId="CommentText">
    <w:name w:val="annotation text"/>
    <w:basedOn w:val="Normal"/>
    <w:semiHidden/>
    <w:rsid w:val="00810EC7"/>
  </w:style>
  <w:style w:type="paragraph" w:customStyle="1" w:styleId="FigureLabelMultiline">
    <w:name w:val="Figure Label Multiline"/>
    <w:basedOn w:val="FigureLabel"/>
    <w:next w:val="NormalIndent"/>
    <w:rsid w:val="00810EC7"/>
    <w:pPr>
      <w:jc w:val="both"/>
    </w:pPr>
  </w:style>
  <w:style w:type="paragraph" w:customStyle="1" w:styleId="TableLabelMultiline">
    <w:name w:val="Table Label Multiline"/>
    <w:basedOn w:val="TableLabel"/>
    <w:rsid w:val="00810EC7"/>
    <w:pPr>
      <w:jc w:val="both"/>
    </w:pPr>
  </w:style>
  <w:style w:type="paragraph" w:customStyle="1" w:styleId="TableLabel">
    <w:name w:val="Table Label"/>
    <w:basedOn w:val="FigureLabel"/>
    <w:rsid w:val="00810EC7"/>
    <w:pPr>
      <w:spacing w:before="240" w:after="120"/>
    </w:pPr>
  </w:style>
  <w:style w:type="character" w:styleId="Hyperlink">
    <w:name w:val="Hyperlink"/>
    <w:rsid w:val="00810EC7"/>
    <w:rPr>
      <w:color w:val="4F81BD"/>
    </w:rPr>
  </w:style>
  <w:style w:type="paragraph" w:customStyle="1" w:styleId="AbstractHeading">
    <w:name w:val="Abstract Heading"/>
    <w:basedOn w:val="Heading"/>
    <w:next w:val="Normal"/>
    <w:link w:val="AbstractHeadingChar"/>
    <w:rsid w:val="00810EC7"/>
    <w:pPr>
      <w:spacing w:before="600"/>
    </w:pPr>
  </w:style>
  <w:style w:type="paragraph" w:styleId="BalloonText">
    <w:name w:val="Balloon Text"/>
    <w:basedOn w:val="Normal"/>
    <w:semiHidden/>
    <w:rsid w:val="00810EC7"/>
    <w:rPr>
      <w:rFonts w:ascii="Tahoma" w:hAnsi="Tahoma" w:cs="Tahoma"/>
      <w:sz w:val="16"/>
      <w:szCs w:val="16"/>
    </w:rPr>
  </w:style>
  <w:style w:type="paragraph" w:customStyle="1" w:styleId="Listenum">
    <w:name w:val="List enum"/>
    <w:basedOn w:val="Normal"/>
    <w:rsid w:val="00810EC7"/>
    <w:pPr>
      <w:numPr>
        <w:numId w:val="3"/>
      </w:numPr>
    </w:pPr>
  </w:style>
  <w:style w:type="paragraph" w:customStyle="1" w:styleId="ListBulleted">
    <w:name w:val="List Bulleted"/>
    <w:basedOn w:val="Normal"/>
    <w:rsid w:val="00810EC7"/>
    <w:pPr>
      <w:numPr>
        <w:numId w:val="1"/>
      </w:numPr>
    </w:pPr>
  </w:style>
  <w:style w:type="character" w:customStyle="1" w:styleId="ExternalHyperlink">
    <w:name w:val="External Hyperlink"/>
    <w:rsid w:val="00810EC7"/>
    <w:rPr>
      <w:rFonts w:ascii="Courier New" w:hAnsi="Courier New"/>
      <w:dstrike w:val="0"/>
      <w:color w:val="FF0000"/>
      <w:sz w:val="22"/>
      <w:vertAlign w:val="baseline"/>
    </w:rPr>
  </w:style>
  <w:style w:type="paragraph" w:styleId="CommentSubject">
    <w:name w:val="annotation subject"/>
    <w:basedOn w:val="CommentText"/>
    <w:next w:val="CommentText"/>
    <w:semiHidden/>
    <w:rsid w:val="00810EC7"/>
    <w:rPr>
      <w:b/>
      <w:bCs/>
    </w:rPr>
  </w:style>
  <w:style w:type="table" w:styleId="TableGrid">
    <w:name w:val="Table Grid"/>
    <w:basedOn w:val="TableNormal"/>
    <w:rsid w:val="00810EC7"/>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10EC7"/>
    <w:pPr>
      <w:tabs>
        <w:tab w:val="clear" w:pos="360"/>
        <w:tab w:val="clear" w:pos="720"/>
        <w:tab w:val="clear" w:pos="1080"/>
        <w:tab w:val="center" w:pos="4320"/>
        <w:tab w:val="right" w:pos="8640"/>
      </w:tabs>
    </w:pPr>
  </w:style>
  <w:style w:type="paragraph" w:styleId="Footer">
    <w:name w:val="footer"/>
    <w:basedOn w:val="Normal"/>
    <w:link w:val="FooterChar"/>
    <w:uiPriority w:val="99"/>
    <w:rsid w:val="00810EC7"/>
    <w:pPr>
      <w:tabs>
        <w:tab w:val="clear" w:pos="360"/>
        <w:tab w:val="clear" w:pos="720"/>
        <w:tab w:val="clear" w:pos="1080"/>
        <w:tab w:val="center" w:pos="4320"/>
        <w:tab w:val="right" w:pos="8640"/>
      </w:tabs>
    </w:pPr>
  </w:style>
  <w:style w:type="character" w:styleId="FollowedHyperlink">
    <w:name w:val="FollowedHyperlink"/>
    <w:rsid w:val="00810EC7"/>
    <w:rPr>
      <w:color w:val="800080"/>
      <w:u w:val="single"/>
    </w:rPr>
  </w:style>
  <w:style w:type="paragraph" w:styleId="BlockText">
    <w:name w:val="Block Text"/>
    <w:basedOn w:val="Normal"/>
    <w:rsid w:val="00810EC7"/>
    <w:pPr>
      <w:spacing w:after="120"/>
      <w:ind w:left="1440" w:right="1440"/>
    </w:pPr>
  </w:style>
  <w:style w:type="paragraph" w:styleId="BodyText">
    <w:name w:val="Body Text"/>
    <w:basedOn w:val="Normal"/>
    <w:rsid w:val="00810EC7"/>
    <w:pPr>
      <w:spacing w:after="120"/>
    </w:pPr>
  </w:style>
  <w:style w:type="paragraph" w:styleId="BodyText2">
    <w:name w:val="Body Text 2"/>
    <w:basedOn w:val="Normal"/>
    <w:rsid w:val="00810EC7"/>
    <w:pPr>
      <w:spacing w:after="120" w:line="480" w:lineRule="auto"/>
    </w:pPr>
  </w:style>
  <w:style w:type="paragraph" w:styleId="BodyText3">
    <w:name w:val="Body Text 3"/>
    <w:basedOn w:val="Normal"/>
    <w:rsid w:val="00810EC7"/>
    <w:pPr>
      <w:spacing w:after="120"/>
    </w:pPr>
    <w:rPr>
      <w:sz w:val="18"/>
      <w:szCs w:val="16"/>
    </w:rPr>
  </w:style>
  <w:style w:type="paragraph" w:styleId="BodyTextFirstIndent">
    <w:name w:val="Body Text First Indent"/>
    <w:basedOn w:val="BodyText"/>
    <w:rsid w:val="00810EC7"/>
    <w:pPr>
      <w:ind w:firstLine="210"/>
    </w:pPr>
  </w:style>
  <w:style w:type="paragraph" w:styleId="BodyTextIndent">
    <w:name w:val="Body Text Indent"/>
    <w:basedOn w:val="Normal"/>
    <w:rsid w:val="00810EC7"/>
    <w:pPr>
      <w:spacing w:after="120"/>
      <w:ind w:left="360"/>
    </w:pPr>
  </w:style>
  <w:style w:type="paragraph" w:styleId="BodyTextFirstIndent2">
    <w:name w:val="Body Text First Indent 2"/>
    <w:basedOn w:val="BodyTextIndent"/>
    <w:rsid w:val="00810EC7"/>
    <w:pPr>
      <w:ind w:firstLine="210"/>
    </w:pPr>
  </w:style>
  <w:style w:type="paragraph" w:styleId="BodyTextIndent2">
    <w:name w:val="Body Text Indent 2"/>
    <w:basedOn w:val="Normal"/>
    <w:rsid w:val="00810EC7"/>
    <w:pPr>
      <w:spacing w:after="120" w:line="480" w:lineRule="auto"/>
      <w:ind w:left="360"/>
    </w:pPr>
  </w:style>
  <w:style w:type="paragraph" w:styleId="BodyTextIndent3">
    <w:name w:val="Body Text Indent 3"/>
    <w:basedOn w:val="Normal"/>
    <w:rsid w:val="00810EC7"/>
    <w:pPr>
      <w:spacing w:after="120"/>
      <w:ind w:left="360"/>
    </w:pPr>
    <w:rPr>
      <w:sz w:val="18"/>
      <w:szCs w:val="16"/>
    </w:rPr>
  </w:style>
  <w:style w:type="paragraph" w:styleId="Caption">
    <w:name w:val="caption"/>
    <w:basedOn w:val="Normal"/>
    <w:next w:val="Normal"/>
    <w:qFormat/>
    <w:rsid w:val="00810EC7"/>
    <w:pPr>
      <w:spacing w:before="120" w:after="120"/>
    </w:pPr>
    <w:rPr>
      <w:b/>
      <w:bCs/>
    </w:rPr>
  </w:style>
  <w:style w:type="paragraph" w:styleId="Closing">
    <w:name w:val="Closing"/>
    <w:basedOn w:val="Normal"/>
    <w:rsid w:val="00810EC7"/>
    <w:pPr>
      <w:ind w:left="4320"/>
    </w:pPr>
  </w:style>
  <w:style w:type="paragraph" w:styleId="Date">
    <w:name w:val="Date"/>
    <w:basedOn w:val="Normal"/>
    <w:next w:val="Normal"/>
    <w:rsid w:val="00810EC7"/>
  </w:style>
  <w:style w:type="paragraph" w:styleId="DocumentMap">
    <w:name w:val="Document Map"/>
    <w:basedOn w:val="Normal"/>
    <w:semiHidden/>
    <w:rsid w:val="00810EC7"/>
    <w:pPr>
      <w:shd w:val="clear" w:color="auto" w:fill="000080"/>
    </w:pPr>
    <w:rPr>
      <w:rFonts w:ascii="Tahoma" w:hAnsi="Tahoma" w:cs="Tahoma"/>
    </w:rPr>
  </w:style>
  <w:style w:type="paragraph" w:styleId="E-mailSignature">
    <w:name w:val="E-mail Signature"/>
    <w:basedOn w:val="Normal"/>
    <w:rsid w:val="00810EC7"/>
  </w:style>
  <w:style w:type="paragraph" w:styleId="EndnoteText">
    <w:name w:val="endnote text"/>
    <w:basedOn w:val="Normal"/>
    <w:semiHidden/>
    <w:rsid w:val="00810EC7"/>
  </w:style>
  <w:style w:type="paragraph" w:styleId="EnvelopeAddress">
    <w:name w:val="envelope address"/>
    <w:basedOn w:val="Normal"/>
    <w:rsid w:val="00810EC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10EC7"/>
    <w:rPr>
      <w:rFonts w:ascii="Arial" w:hAnsi="Arial" w:cs="Arial"/>
    </w:rPr>
  </w:style>
  <w:style w:type="paragraph" w:styleId="FootnoteText">
    <w:name w:val="footnote text"/>
    <w:basedOn w:val="Normal"/>
    <w:semiHidden/>
    <w:rsid w:val="00810EC7"/>
  </w:style>
  <w:style w:type="paragraph" w:styleId="HTMLAddress">
    <w:name w:val="HTML Address"/>
    <w:basedOn w:val="Normal"/>
    <w:rsid w:val="00810EC7"/>
    <w:rPr>
      <w:i/>
      <w:iCs/>
    </w:rPr>
  </w:style>
  <w:style w:type="paragraph" w:styleId="HTMLPreformatted">
    <w:name w:val="HTML Preformatted"/>
    <w:basedOn w:val="Normal"/>
    <w:rsid w:val="00810EC7"/>
    <w:rPr>
      <w:rFonts w:ascii="Courier New" w:hAnsi="Courier New" w:cs="Courier New"/>
    </w:rPr>
  </w:style>
  <w:style w:type="paragraph" w:styleId="Index1">
    <w:name w:val="index 1"/>
    <w:basedOn w:val="Normal"/>
    <w:next w:val="Normal"/>
    <w:autoRedefine/>
    <w:semiHidden/>
    <w:rsid w:val="00810EC7"/>
    <w:pPr>
      <w:tabs>
        <w:tab w:val="clear" w:pos="360"/>
        <w:tab w:val="clear" w:pos="720"/>
        <w:tab w:val="clear" w:pos="1080"/>
      </w:tabs>
      <w:ind w:left="200" w:hanging="200"/>
    </w:pPr>
  </w:style>
  <w:style w:type="paragraph" w:styleId="Index2">
    <w:name w:val="index 2"/>
    <w:basedOn w:val="Normal"/>
    <w:next w:val="Normal"/>
    <w:autoRedefine/>
    <w:semiHidden/>
    <w:rsid w:val="00810EC7"/>
    <w:pPr>
      <w:tabs>
        <w:tab w:val="clear" w:pos="360"/>
        <w:tab w:val="clear" w:pos="720"/>
        <w:tab w:val="clear" w:pos="1080"/>
      </w:tabs>
      <w:ind w:left="400" w:hanging="200"/>
    </w:pPr>
  </w:style>
  <w:style w:type="paragraph" w:styleId="Index3">
    <w:name w:val="index 3"/>
    <w:basedOn w:val="Normal"/>
    <w:next w:val="Normal"/>
    <w:autoRedefine/>
    <w:semiHidden/>
    <w:rsid w:val="00810EC7"/>
    <w:pPr>
      <w:tabs>
        <w:tab w:val="clear" w:pos="360"/>
        <w:tab w:val="clear" w:pos="720"/>
        <w:tab w:val="clear" w:pos="1080"/>
      </w:tabs>
      <w:ind w:left="600" w:hanging="200"/>
    </w:pPr>
  </w:style>
  <w:style w:type="paragraph" w:styleId="Index4">
    <w:name w:val="index 4"/>
    <w:basedOn w:val="Normal"/>
    <w:next w:val="Normal"/>
    <w:autoRedefine/>
    <w:semiHidden/>
    <w:rsid w:val="00810EC7"/>
    <w:pPr>
      <w:tabs>
        <w:tab w:val="clear" w:pos="360"/>
        <w:tab w:val="clear" w:pos="720"/>
        <w:tab w:val="clear" w:pos="1080"/>
      </w:tabs>
      <w:ind w:left="800" w:hanging="200"/>
    </w:pPr>
  </w:style>
  <w:style w:type="paragraph" w:styleId="Index5">
    <w:name w:val="index 5"/>
    <w:basedOn w:val="Normal"/>
    <w:next w:val="Normal"/>
    <w:autoRedefine/>
    <w:semiHidden/>
    <w:rsid w:val="00810EC7"/>
    <w:pPr>
      <w:tabs>
        <w:tab w:val="clear" w:pos="360"/>
        <w:tab w:val="clear" w:pos="720"/>
        <w:tab w:val="clear" w:pos="1080"/>
      </w:tabs>
      <w:ind w:left="1000" w:hanging="200"/>
    </w:pPr>
  </w:style>
  <w:style w:type="paragraph" w:styleId="Index6">
    <w:name w:val="index 6"/>
    <w:basedOn w:val="Normal"/>
    <w:next w:val="Normal"/>
    <w:autoRedefine/>
    <w:semiHidden/>
    <w:rsid w:val="00810EC7"/>
    <w:pPr>
      <w:tabs>
        <w:tab w:val="clear" w:pos="360"/>
        <w:tab w:val="clear" w:pos="720"/>
        <w:tab w:val="clear" w:pos="1080"/>
      </w:tabs>
      <w:ind w:left="1200" w:hanging="200"/>
    </w:pPr>
  </w:style>
  <w:style w:type="paragraph" w:styleId="Index7">
    <w:name w:val="index 7"/>
    <w:basedOn w:val="Normal"/>
    <w:next w:val="Normal"/>
    <w:autoRedefine/>
    <w:semiHidden/>
    <w:rsid w:val="00810EC7"/>
    <w:pPr>
      <w:tabs>
        <w:tab w:val="clear" w:pos="360"/>
        <w:tab w:val="clear" w:pos="720"/>
        <w:tab w:val="clear" w:pos="1080"/>
      </w:tabs>
      <w:ind w:left="1400" w:hanging="200"/>
    </w:pPr>
  </w:style>
  <w:style w:type="paragraph" w:styleId="Index8">
    <w:name w:val="index 8"/>
    <w:basedOn w:val="Normal"/>
    <w:next w:val="Normal"/>
    <w:autoRedefine/>
    <w:semiHidden/>
    <w:rsid w:val="00810EC7"/>
    <w:pPr>
      <w:tabs>
        <w:tab w:val="clear" w:pos="360"/>
        <w:tab w:val="clear" w:pos="720"/>
        <w:tab w:val="clear" w:pos="1080"/>
      </w:tabs>
      <w:ind w:left="1600" w:hanging="200"/>
    </w:pPr>
  </w:style>
  <w:style w:type="paragraph" w:styleId="Index9">
    <w:name w:val="index 9"/>
    <w:basedOn w:val="Normal"/>
    <w:next w:val="Normal"/>
    <w:autoRedefine/>
    <w:semiHidden/>
    <w:rsid w:val="00810EC7"/>
    <w:pPr>
      <w:tabs>
        <w:tab w:val="clear" w:pos="360"/>
        <w:tab w:val="clear" w:pos="720"/>
        <w:tab w:val="clear" w:pos="1080"/>
      </w:tabs>
      <w:ind w:left="1800" w:hanging="200"/>
    </w:pPr>
  </w:style>
  <w:style w:type="paragraph" w:styleId="IndexHeading">
    <w:name w:val="index heading"/>
    <w:basedOn w:val="Normal"/>
    <w:next w:val="Index1"/>
    <w:semiHidden/>
    <w:rsid w:val="00810EC7"/>
    <w:rPr>
      <w:rFonts w:ascii="Arial" w:hAnsi="Arial" w:cs="Arial"/>
      <w:b/>
      <w:bCs/>
    </w:rPr>
  </w:style>
  <w:style w:type="paragraph" w:styleId="List">
    <w:name w:val="List"/>
    <w:basedOn w:val="Normal"/>
    <w:rsid w:val="00810EC7"/>
    <w:pPr>
      <w:ind w:left="360" w:hanging="360"/>
    </w:pPr>
  </w:style>
  <w:style w:type="paragraph" w:styleId="List2">
    <w:name w:val="List 2"/>
    <w:basedOn w:val="Normal"/>
    <w:rsid w:val="00810EC7"/>
    <w:pPr>
      <w:ind w:left="720" w:hanging="360"/>
    </w:pPr>
  </w:style>
  <w:style w:type="paragraph" w:styleId="List3">
    <w:name w:val="List 3"/>
    <w:basedOn w:val="Normal"/>
    <w:rsid w:val="00810EC7"/>
    <w:pPr>
      <w:ind w:left="1080" w:hanging="360"/>
    </w:pPr>
  </w:style>
  <w:style w:type="paragraph" w:styleId="List4">
    <w:name w:val="List 4"/>
    <w:basedOn w:val="Normal"/>
    <w:rsid w:val="00810EC7"/>
    <w:pPr>
      <w:ind w:left="1440" w:hanging="360"/>
    </w:pPr>
  </w:style>
  <w:style w:type="paragraph" w:styleId="List5">
    <w:name w:val="List 5"/>
    <w:basedOn w:val="Normal"/>
    <w:rsid w:val="00810EC7"/>
    <w:pPr>
      <w:ind w:left="1800" w:hanging="360"/>
    </w:pPr>
  </w:style>
  <w:style w:type="paragraph" w:styleId="ListBullet">
    <w:name w:val="List Bullet"/>
    <w:basedOn w:val="Normal"/>
    <w:autoRedefine/>
    <w:rsid w:val="00810EC7"/>
    <w:pPr>
      <w:numPr>
        <w:numId w:val="6"/>
      </w:numPr>
    </w:pPr>
  </w:style>
  <w:style w:type="paragraph" w:styleId="ListBullet2">
    <w:name w:val="List Bullet 2"/>
    <w:basedOn w:val="Normal"/>
    <w:autoRedefine/>
    <w:rsid w:val="00810EC7"/>
    <w:pPr>
      <w:numPr>
        <w:numId w:val="7"/>
      </w:numPr>
    </w:pPr>
  </w:style>
  <w:style w:type="paragraph" w:styleId="ListBullet3">
    <w:name w:val="List Bullet 3"/>
    <w:basedOn w:val="Normal"/>
    <w:autoRedefine/>
    <w:rsid w:val="00810EC7"/>
    <w:pPr>
      <w:numPr>
        <w:numId w:val="8"/>
      </w:numPr>
    </w:pPr>
  </w:style>
  <w:style w:type="paragraph" w:styleId="ListBullet4">
    <w:name w:val="List Bullet 4"/>
    <w:basedOn w:val="Normal"/>
    <w:autoRedefine/>
    <w:rsid w:val="00810EC7"/>
    <w:pPr>
      <w:numPr>
        <w:numId w:val="9"/>
      </w:numPr>
    </w:pPr>
  </w:style>
  <w:style w:type="paragraph" w:styleId="ListBullet5">
    <w:name w:val="List Bullet 5"/>
    <w:basedOn w:val="Normal"/>
    <w:autoRedefine/>
    <w:rsid w:val="00810EC7"/>
    <w:pPr>
      <w:numPr>
        <w:numId w:val="10"/>
      </w:numPr>
    </w:pPr>
  </w:style>
  <w:style w:type="paragraph" w:styleId="ListContinue">
    <w:name w:val="List Continue"/>
    <w:basedOn w:val="Normal"/>
    <w:rsid w:val="00810EC7"/>
    <w:pPr>
      <w:spacing w:after="120"/>
      <w:ind w:left="360"/>
    </w:pPr>
  </w:style>
  <w:style w:type="paragraph" w:styleId="ListContinue2">
    <w:name w:val="List Continue 2"/>
    <w:basedOn w:val="Normal"/>
    <w:rsid w:val="00810EC7"/>
    <w:pPr>
      <w:spacing w:after="120"/>
      <w:ind w:left="720"/>
    </w:pPr>
  </w:style>
  <w:style w:type="paragraph" w:styleId="ListContinue3">
    <w:name w:val="List Continue 3"/>
    <w:basedOn w:val="Normal"/>
    <w:rsid w:val="00810EC7"/>
    <w:pPr>
      <w:spacing w:after="120"/>
      <w:ind w:left="1080"/>
    </w:pPr>
  </w:style>
  <w:style w:type="paragraph" w:styleId="ListContinue4">
    <w:name w:val="List Continue 4"/>
    <w:basedOn w:val="Normal"/>
    <w:rsid w:val="00810EC7"/>
    <w:pPr>
      <w:spacing w:after="120"/>
      <w:ind w:left="1440"/>
    </w:pPr>
  </w:style>
  <w:style w:type="paragraph" w:styleId="ListContinue5">
    <w:name w:val="List Continue 5"/>
    <w:basedOn w:val="Normal"/>
    <w:rsid w:val="00810EC7"/>
    <w:pPr>
      <w:spacing w:after="120"/>
      <w:ind w:left="1800"/>
    </w:pPr>
  </w:style>
  <w:style w:type="paragraph" w:styleId="ListNumber">
    <w:name w:val="List Number"/>
    <w:basedOn w:val="Normal"/>
    <w:rsid w:val="00810EC7"/>
    <w:pPr>
      <w:numPr>
        <w:numId w:val="11"/>
      </w:numPr>
    </w:pPr>
  </w:style>
  <w:style w:type="paragraph" w:styleId="ListNumber2">
    <w:name w:val="List Number 2"/>
    <w:basedOn w:val="Normal"/>
    <w:rsid w:val="00810EC7"/>
    <w:pPr>
      <w:numPr>
        <w:numId w:val="12"/>
      </w:numPr>
    </w:pPr>
  </w:style>
  <w:style w:type="paragraph" w:styleId="ListNumber3">
    <w:name w:val="List Number 3"/>
    <w:basedOn w:val="Normal"/>
    <w:rsid w:val="00810EC7"/>
    <w:pPr>
      <w:numPr>
        <w:numId w:val="13"/>
      </w:numPr>
    </w:pPr>
  </w:style>
  <w:style w:type="paragraph" w:styleId="ListNumber4">
    <w:name w:val="List Number 4"/>
    <w:basedOn w:val="Normal"/>
    <w:rsid w:val="00810EC7"/>
    <w:pPr>
      <w:numPr>
        <w:numId w:val="14"/>
      </w:numPr>
    </w:pPr>
  </w:style>
  <w:style w:type="paragraph" w:styleId="ListNumber5">
    <w:name w:val="List Number 5"/>
    <w:basedOn w:val="Normal"/>
    <w:rsid w:val="00810EC7"/>
    <w:pPr>
      <w:numPr>
        <w:numId w:val="15"/>
      </w:numPr>
    </w:pPr>
  </w:style>
  <w:style w:type="paragraph" w:styleId="MacroText">
    <w:name w:val="macro"/>
    <w:semiHidden/>
    <w:rsid w:val="00810EC7"/>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810E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10EC7"/>
    <w:rPr>
      <w:sz w:val="24"/>
      <w:szCs w:val="24"/>
    </w:rPr>
  </w:style>
  <w:style w:type="paragraph" w:styleId="NoteHeading">
    <w:name w:val="Note Heading"/>
    <w:basedOn w:val="Normal"/>
    <w:next w:val="Normal"/>
    <w:rsid w:val="00810EC7"/>
  </w:style>
  <w:style w:type="paragraph" w:styleId="PlainText">
    <w:name w:val="Plain Text"/>
    <w:basedOn w:val="Normal"/>
    <w:rsid w:val="00810EC7"/>
    <w:rPr>
      <w:rFonts w:ascii="Courier New" w:hAnsi="Courier New" w:cs="Courier New"/>
    </w:rPr>
  </w:style>
  <w:style w:type="paragraph" w:styleId="Salutation">
    <w:name w:val="Salutation"/>
    <w:basedOn w:val="Normal"/>
    <w:next w:val="Normal"/>
    <w:rsid w:val="00810EC7"/>
  </w:style>
  <w:style w:type="paragraph" w:styleId="Signature">
    <w:name w:val="Signature"/>
    <w:basedOn w:val="Normal"/>
    <w:rsid w:val="00810EC7"/>
    <w:pPr>
      <w:ind w:left="4320"/>
    </w:pPr>
  </w:style>
  <w:style w:type="paragraph" w:styleId="Subtitle">
    <w:name w:val="Subtitle"/>
    <w:basedOn w:val="Normal"/>
    <w:qFormat/>
    <w:rsid w:val="00810EC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10EC7"/>
    <w:pPr>
      <w:tabs>
        <w:tab w:val="clear" w:pos="360"/>
        <w:tab w:val="clear" w:pos="720"/>
        <w:tab w:val="clear" w:pos="1080"/>
      </w:tabs>
      <w:ind w:left="200" w:hanging="200"/>
    </w:pPr>
  </w:style>
  <w:style w:type="paragraph" w:styleId="TableofFigures">
    <w:name w:val="table of figures"/>
    <w:basedOn w:val="Normal"/>
    <w:next w:val="Normal"/>
    <w:semiHidden/>
    <w:rsid w:val="00810EC7"/>
    <w:pPr>
      <w:tabs>
        <w:tab w:val="clear" w:pos="360"/>
        <w:tab w:val="clear" w:pos="720"/>
        <w:tab w:val="clear" w:pos="1080"/>
      </w:tabs>
      <w:ind w:left="400" w:hanging="400"/>
    </w:pPr>
  </w:style>
  <w:style w:type="paragraph" w:styleId="TOAHeading">
    <w:name w:val="toa heading"/>
    <w:basedOn w:val="Normal"/>
    <w:next w:val="Normal"/>
    <w:semiHidden/>
    <w:rsid w:val="00810EC7"/>
    <w:pPr>
      <w:spacing w:before="120"/>
    </w:pPr>
    <w:rPr>
      <w:rFonts w:ascii="Arial" w:hAnsi="Arial" w:cs="Arial"/>
      <w:b/>
      <w:bCs/>
      <w:sz w:val="24"/>
      <w:szCs w:val="24"/>
    </w:rPr>
  </w:style>
  <w:style w:type="paragraph" w:styleId="TOC1">
    <w:name w:val="toc 1"/>
    <w:basedOn w:val="Normal"/>
    <w:next w:val="Normal"/>
    <w:autoRedefine/>
    <w:semiHidden/>
    <w:rsid w:val="00810EC7"/>
    <w:pPr>
      <w:tabs>
        <w:tab w:val="clear" w:pos="360"/>
        <w:tab w:val="clear" w:pos="720"/>
        <w:tab w:val="clear" w:pos="1080"/>
      </w:tabs>
    </w:pPr>
  </w:style>
  <w:style w:type="paragraph" w:styleId="TOC2">
    <w:name w:val="toc 2"/>
    <w:basedOn w:val="Normal"/>
    <w:next w:val="Normal"/>
    <w:autoRedefine/>
    <w:semiHidden/>
    <w:rsid w:val="00810EC7"/>
    <w:pPr>
      <w:tabs>
        <w:tab w:val="clear" w:pos="360"/>
        <w:tab w:val="clear" w:pos="720"/>
        <w:tab w:val="clear" w:pos="1080"/>
      </w:tabs>
      <w:ind w:left="200"/>
    </w:pPr>
  </w:style>
  <w:style w:type="paragraph" w:styleId="TOC3">
    <w:name w:val="toc 3"/>
    <w:basedOn w:val="Normal"/>
    <w:next w:val="Normal"/>
    <w:autoRedefine/>
    <w:semiHidden/>
    <w:rsid w:val="00810EC7"/>
    <w:pPr>
      <w:tabs>
        <w:tab w:val="clear" w:pos="360"/>
        <w:tab w:val="clear" w:pos="720"/>
        <w:tab w:val="clear" w:pos="1080"/>
      </w:tabs>
      <w:ind w:left="400"/>
    </w:pPr>
  </w:style>
  <w:style w:type="paragraph" w:styleId="TOC4">
    <w:name w:val="toc 4"/>
    <w:basedOn w:val="Normal"/>
    <w:next w:val="Normal"/>
    <w:autoRedefine/>
    <w:semiHidden/>
    <w:rsid w:val="00810EC7"/>
    <w:pPr>
      <w:tabs>
        <w:tab w:val="clear" w:pos="360"/>
        <w:tab w:val="clear" w:pos="720"/>
        <w:tab w:val="clear" w:pos="1080"/>
      </w:tabs>
      <w:ind w:left="600"/>
    </w:pPr>
  </w:style>
  <w:style w:type="paragraph" w:styleId="TOC5">
    <w:name w:val="toc 5"/>
    <w:basedOn w:val="Normal"/>
    <w:next w:val="Normal"/>
    <w:autoRedefine/>
    <w:semiHidden/>
    <w:rsid w:val="00810EC7"/>
    <w:pPr>
      <w:tabs>
        <w:tab w:val="clear" w:pos="360"/>
        <w:tab w:val="clear" w:pos="720"/>
        <w:tab w:val="clear" w:pos="1080"/>
      </w:tabs>
      <w:ind w:left="800"/>
    </w:pPr>
  </w:style>
  <w:style w:type="paragraph" w:styleId="TOC6">
    <w:name w:val="toc 6"/>
    <w:basedOn w:val="Normal"/>
    <w:next w:val="Normal"/>
    <w:autoRedefine/>
    <w:semiHidden/>
    <w:rsid w:val="00810EC7"/>
    <w:pPr>
      <w:tabs>
        <w:tab w:val="clear" w:pos="360"/>
        <w:tab w:val="clear" w:pos="720"/>
        <w:tab w:val="clear" w:pos="1080"/>
      </w:tabs>
      <w:ind w:left="1000"/>
    </w:pPr>
  </w:style>
  <w:style w:type="paragraph" w:styleId="TOC7">
    <w:name w:val="toc 7"/>
    <w:basedOn w:val="Normal"/>
    <w:next w:val="Normal"/>
    <w:autoRedefine/>
    <w:semiHidden/>
    <w:rsid w:val="00810EC7"/>
    <w:pPr>
      <w:tabs>
        <w:tab w:val="clear" w:pos="360"/>
        <w:tab w:val="clear" w:pos="720"/>
        <w:tab w:val="clear" w:pos="1080"/>
      </w:tabs>
      <w:ind w:left="1200"/>
    </w:pPr>
  </w:style>
  <w:style w:type="paragraph" w:styleId="TOC8">
    <w:name w:val="toc 8"/>
    <w:basedOn w:val="Normal"/>
    <w:next w:val="Normal"/>
    <w:autoRedefine/>
    <w:semiHidden/>
    <w:rsid w:val="00810EC7"/>
    <w:pPr>
      <w:tabs>
        <w:tab w:val="clear" w:pos="360"/>
        <w:tab w:val="clear" w:pos="720"/>
        <w:tab w:val="clear" w:pos="1080"/>
      </w:tabs>
      <w:ind w:left="1400"/>
    </w:pPr>
  </w:style>
  <w:style w:type="paragraph" w:styleId="TOC9">
    <w:name w:val="toc 9"/>
    <w:basedOn w:val="Normal"/>
    <w:next w:val="Normal"/>
    <w:autoRedefine/>
    <w:semiHidden/>
    <w:rsid w:val="00810EC7"/>
    <w:pPr>
      <w:tabs>
        <w:tab w:val="clear" w:pos="360"/>
        <w:tab w:val="clear" w:pos="720"/>
        <w:tab w:val="clear" w:pos="1080"/>
      </w:tabs>
      <w:ind w:left="1600"/>
    </w:pPr>
  </w:style>
  <w:style w:type="paragraph" w:customStyle="1" w:styleId="MediumGrid21">
    <w:name w:val="Medium Grid 21"/>
    <w:uiPriority w:val="1"/>
    <w:qFormat/>
    <w:rsid w:val="00810EC7"/>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810EC7"/>
    <w:rPr>
      <w:rFonts w:ascii="Courier New" w:eastAsia="Times New Roman" w:hAnsi="Courier New" w:cs="Courier New"/>
      <w:sz w:val="20"/>
      <w:szCs w:val="20"/>
    </w:rPr>
  </w:style>
  <w:style w:type="character" w:customStyle="1" w:styleId="apple-converted-space">
    <w:name w:val="apple-converted-space"/>
    <w:basedOn w:val="DefaultParagraphFont"/>
    <w:rsid w:val="00810EC7"/>
  </w:style>
  <w:style w:type="paragraph" w:customStyle="1" w:styleId="Abstract">
    <w:name w:val="Abstract"/>
    <w:basedOn w:val="AbstractHeading"/>
    <w:link w:val="AbstractChar"/>
    <w:qFormat/>
    <w:rsid w:val="00810EC7"/>
  </w:style>
  <w:style w:type="character" w:customStyle="1" w:styleId="HeadingChar">
    <w:name w:val="Heading Char"/>
    <w:basedOn w:val="DefaultParagraphFont"/>
    <w:link w:val="Heading"/>
    <w:rsid w:val="00810EC7"/>
    <w:rPr>
      <w:rFonts w:eastAsiaTheme="minorEastAsia"/>
      <w:b/>
      <w:caps/>
      <w:snapToGrid w:val="0"/>
      <w:sz w:val="22"/>
    </w:rPr>
  </w:style>
  <w:style w:type="character" w:customStyle="1" w:styleId="AbstractHeadingChar">
    <w:name w:val="Abstract Heading Char"/>
    <w:basedOn w:val="HeadingChar"/>
    <w:link w:val="AbstractHeading"/>
    <w:rsid w:val="00810EC7"/>
    <w:rPr>
      <w:rFonts w:eastAsiaTheme="minorEastAsia"/>
      <w:b/>
      <w:caps/>
      <w:snapToGrid w:val="0"/>
      <w:sz w:val="22"/>
    </w:rPr>
  </w:style>
  <w:style w:type="character" w:customStyle="1" w:styleId="AbstractChar">
    <w:name w:val="Abstract Char"/>
    <w:basedOn w:val="AbstractHeadingChar"/>
    <w:link w:val="Abstract"/>
    <w:rsid w:val="00810EC7"/>
    <w:rPr>
      <w:rFonts w:eastAsiaTheme="minorEastAsia"/>
      <w:b/>
      <w:caps/>
      <w:snapToGrid w:val="0"/>
      <w:sz w:val="22"/>
    </w:rPr>
  </w:style>
  <w:style w:type="paragraph" w:styleId="ListParagraph">
    <w:name w:val="List Paragraph"/>
    <w:basedOn w:val="Normal"/>
    <w:uiPriority w:val="72"/>
    <w:rsid w:val="00810EC7"/>
    <w:pPr>
      <w:ind w:left="720"/>
      <w:contextualSpacing/>
    </w:pPr>
  </w:style>
  <w:style w:type="character" w:customStyle="1" w:styleId="FooterChar">
    <w:name w:val="Footer Char"/>
    <w:basedOn w:val="DefaultParagraphFont"/>
    <w:link w:val="Footer"/>
    <w:uiPriority w:val="99"/>
    <w:rsid w:val="00810EC7"/>
    <w:rPr>
      <w:rFonts w:eastAsiaTheme="minorEastAsia"/>
      <w:snapToGrid w:val="0"/>
      <w:sz w:val="22"/>
    </w:rPr>
  </w:style>
  <w:style w:type="paragraph" w:customStyle="1" w:styleId="UnnumberedHeading1">
    <w:name w:val="UnnumberedHeading1"/>
    <w:basedOn w:val="Heading1"/>
    <w:link w:val="UnnumberedHeading1Char"/>
    <w:qFormat/>
    <w:rsid w:val="00810EC7"/>
    <w:pPr>
      <w:numPr>
        <w:numId w:val="0"/>
      </w:numPr>
      <w:ind w:left="360" w:hanging="360"/>
    </w:pPr>
  </w:style>
  <w:style w:type="character" w:customStyle="1" w:styleId="Heading1Char">
    <w:name w:val="Heading 1 Char"/>
    <w:basedOn w:val="DefaultParagraphFont"/>
    <w:link w:val="Heading1"/>
    <w:rsid w:val="00810EC7"/>
    <w:rPr>
      <w:rFonts w:eastAsiaTheme="minorEastAsia"/>
      <w:b/>
      <w:caps/>
      <w:snapToGrid w:val="0"/>
      <w:sz w:val="22"/>
    </w:rPr>
  </w:style>
  <w:style w:type="character" w:customStyle="1" w:styleId="UnnumberedHeading1Char">
    <w:name w:val="UnnumberedHeading1 Char"/>
    <w:basedOn w:val="Heading1Char"/>
    <w:link w:val="UnnumberedHeading1"/>
    <w:rsid w:val="00810EC7"/>
    <w:rPr>
      <w:rFonts w:eastAsiaTheme="minorEastAsia"/>
      <w:b/>
      <w:caps/>
      <w:snapToGrid w:val="0"/>
      <w:sz w:val="22"/>
    </w:rPr>
  </w:style>
  <w:style w:type="character" w:styleId="UnresolvedMention">
    <w:name w:val="Unresolved Mention"/>
    <w:basedOn w:val="DefaultParagraphFont"/>
    <w:uiPriority w:val="99"/>
    <w:semiHidden/>
    <w:unhideWhenUsed/>
    <w:rsid w:val="00444E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tpike3@gmu.edu" TargetMode="External"/><Relationship Id="rId2" Type="http://schemas.openxmlformats.org/officeDocument/2006/relationships/numbering" Target="numbering.xml"/><Relationship Id="rId16" Type="http://schemas.openxmlformats.org/officeDocument/2006/relationships/hyperlink" Target="https://github.com/tpike3/me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pike3/Libya-CoalitionForm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pike3/Libya-CoalitionFormation"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amo\Google%20Drive\1.%20PhD\Written%20Exam\SCS17WordPaper\SCS17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4BC4-2712-49A4-BF82-ED308C956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SCS17_WordPaperTemplate.dotx</Template>
  <TotalTime>390</TotalTime>
  <Pages>12</Pages>
  <Words>11128</Words>
  <Characters>63435</Characters>
  <Application>Microsoft Office Word</Application>
  <DocSecurity>0</DocSecurity>
  <Lines>528</Lines>
  <Paragraphs>148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SCS Preparing Manuscripts</vt:lpstr>
      <vt:lpstr>SCS Preparing Manuscripts</vt:lpstr>
    </vt:vector>
  </TitlesOfParts>
  <Company>Microsoft</Company>
  <LinksUpToDate>false</LinksUpToDate>
  <CharactersWithSpaces>74415</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ymamo</dc:creator>
  <cp:keywords>SpringSim2017</cp:keywords>
  <dc:description/>
  <cp:lastModifiedBy>Tom Pike</cp:lastModifiedBy>
  <cp:revision>10</cp:revision>
  <cp:lastPrinted>2016-08-12T11:54:00Z</cp:lastPrinted>
  <dcterms:created xsi:type="dcterms:W3CDTF">2017-11-12T12:20:00Z</dcterms:created>
  <dcterms:modified xsi:type="dcterms:W3CDTF">2017-11-12T18:50:00Z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1e4fc8b6-2d1a-3377-b269-15ee64e2e710</vt:lpwstr>
  </property>
  <property fmtid="{D5CDD505-2E9C-101B-9397-08002B2CF9AE}" pid="27" name="Mendeley Citation Style_1">
    <vt:lpwstr>http://www.zotero.org/styles/chicago-author-date</vt:lpwstr>
  </property>
</Properties>
</file>