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Does causal probing resist spurious features better than diagnostic</w:t>
      </w:r>
      <w:r>
        <w:rPr>
          <w:b/>
          <w:bCs/>
        </w:rPr>
        <w:t xml:space="preserve"> </w:t>
      </w:r>
      <w:r>
        <w:rPr>
          <w:b/>
          <w:bCs/>
        </w:rPr>
        <w:t xml:space="preserve">probing?</w:t>
      </w:r>
      <w:r>
        <w:br/>
      </w:r>
      <w:r>
        <w:t xml:space="preserve">A finite-complexity view</w:t>
      </w:r>
    </w:p>
    <w:p>
      <w:pPr>
        <w:pStyle w:val="Author"/>
      </w:pPr>
      <w:r>
        <w:t xml:space="preserve">Tiago Pimentel</w:t>
      </w:r>
      <w:r>
        <w:br/>
      </w:r>
      <w:r>
        <w:t xml:space="preserve">ETH Zürich</w:t>
      </w:r>
      <w:r>
        <w:br/>
      </w:r>
      <w:r>
        <w:rPr>
          <w:rStyle w:val="VerbatimChar"/>
        </w:rPr>
        <w:t xml:space="preserve">tiago.pimentel@inf.ethz.ch</w:t>
      </w:r>
    </w:p>
    <w:p>
      <w:pPr>
        <w:pStyle w:val="Date"/>
      </w:pPr>
      <w:r>
        <w:t xml:space="preserve">2026-06-02</w:t>
      </w:r>
    </w:p>
    <w:bookmarkStart w:id="9" w:name="the-question"/>
    <w:p>
      <w:pPr>
        <w:pStyle w:val="Heading1"/>
      </w:pPr>
      <w:r>
        <w:t xml:space="preserve">The question</w:t>
      </w:r>
    </w:p>
    <w:p>
      <w:pPr>
        <w:pStyle w:val="FirstParagraph"/>
      </w:pPr>
      <w:r>
        <w:t xml:space="preserve">Two recent results put diagnostic and causal probing in the same uncomfortable place.</w:t>
      </w:r>
      <w:r>
        <w:t xml:space="preserve"> </w:t>
      </w:r>
      <w:r>
        <w:t xml:space="preserve">A sufficiently powerful diagnostic probe always recovers a target property from a</w:t>
      </w:r>
      <w:r>
        <w:t xml:space="preserve"> </w:t>
      </w:r>
      <w:r>
        <w:t xml:space="preserve">model’s representations</w:t>
      </w:r>
      <w:r>
        <w:t xml:space="preserve"> </w:t>
      </w:r>
      <w:r>
        <w:t xml:space="preserve">(Pimentel et al. 2020)</w:t>
      </w:r>
      <w:r>
        <w:t xml:space="preserve">; and a sufficiently complex</w:t>
      </w:r>
      <w:r>
        <w:t xml:space="preserve"> </w:t>
      </w:r>
      <w:r>
        <w:t xml:space="preserve">alignment map makes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algorithm a distributed abstraction of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network</w:t>
      </w:r>
      <w:r>
        <w:t xml:space="preserve"> </w:t>
      </w:r>
      <w:r>
        <w:t xml:space="preserve">(Sutter et al. 2025)</w:t>
      </w:r>
      <w:r>
        <w:t xml:space="preserve">. Both are statements about a limit: at infinite</w:t>
      </w:r>
      <w:r>
        <w:t xml:space="preserve"> </w:t>
      </w:r>
      <w:r>
        <w:t xml:space="preserve">complexity either method can fit any target—random ones included—so its reported</w:t>
      </w:r>
      <w:r>
        <w:t xml:space="preserve"> </w:t>
      </w:r>
      <w:r>
        <w:t xml:space="preserve">score says nothing about the network. Read at face value, the causal result says that</w:t>
      </w:r>
      <w:r>
        <w:t xml:space="preserve"> </w:t>
      </w:r>
      <w:r>
        <w:t xml:space="preserve">causal probing is no better than diagnostic probing: it leaves us where diagnostic</w:t>
      </w:r>
      <w:r>
        <w:t xml:space="preserve"> </w:t>
      </w:r>
      <w:r>
        <w:t xml:space="preserve">probing did.</w:t>
      </w:r>
    </w:p>
    <w:p>
      <w:pPr>
        <w:pStyle w:val="BodyText"/>
      </w:pPr>
      <w:r>
        <w:t xml:space="preserve">But that is a claim about the limit, and we never work there. At finite complexity and</w:t>
      </w:r>
      <w:r>
        <w:t xml:space="preserve"> </w:t>
      </w:r>
      <w:r>
        <w:t xml:space="preserve">finite data neither method can fit everything, and the extra structure in a causal</w:t>
      </w:r>
      <w:r>
        <w:t xml:space="preserve"> </w:t>
      </w:r>
      <w:r>
        <w:t xml:space="preserve">probe—it must act through the frozen network rather than emit a label directly—might</w:t>
      </w:r>
      <w:r>
        <w:t xml:space="preserve"> </w:t>
      </w:r>
      <w:r>
        <w:t xml:space="preserve">make it harder to fit</w:t>
      </w:r>
      <w:r>
        <w:t xml:space="preserve"> </w:t>
      </w:r>
      <w:r>
        <w:rPr>
          <w:i/>
          <w:iCs/>
        </w:rPr>
        <w:t xml:space="preserve">spurious</w:t>
      </w:r>
      <w:r>
        <w:t xml:space="preserve"> </w:t>
      </w:r>
      <w:r>
        <w:t xml:space="preserve">patterns than a diagnostic probe of comparable</w:t>
      </w:r>
      <w:r>
        <w:t xml:space="preserve"> </w:t>
      </w:r>
      <w:r>
        <w:t xml:space="preserve">power. If so, causality helps in practice even though both methods fail in the limit.</w:t>
      </w:r>
      <w:r>
        <w:t xml:space="preserve"> </w:t>
      </w:r>
      <w:r>
        <w:t xml:space="preserve">This note asks whether it does.</w:t>
      </w:r>
    </w:p>
    <w:bookmarkEnd w:id="9"/>
    <w:bookmarkStart w:id="10" w:name="a-shared-measure-of-spuriousness"/>
    <w:p>
      <w:pPr>
        <w:pStyle w:val="Heading1"/>
      </w:pPr>
      <w:r>
        <w:t xml:space="preserve">A shared measure of spuriousness</w:t>
      </w:r>
    </w:p>
    <w:p>
      <w:pPr>
        <w:pStyle w:val="FirstParagraph"/>
      </w:pPr>
      <w:r>
        <w:t xml:space="preserve">We measure how readily a method fits structure that is not there: relabel the data at</w:t>
      </w:r>
      <w:r>
        <w:t xml:space="preserve"> </w:t>
      </w:r>
      <w:r>
        <w:t xml:space="preserve">random and see how well the method still fits it. The expected best fit a hypothesis</w:t>
      </w:r>
      <w:r>
        <w:t xml:space="preserve"> </w:t>
      </w:r>
      <w:r>
        <w:t xml:space="preserve">class achieves on such random targets is, up to scaling, its empirical Rademacher</w:t>
      </w:r>
      <w:r>
        <w:t xml:space="preserve"> </w:t>
      </w:r>
      <w:r>
        <w:t xml:space="preserve">complexity</w:t>
      </w:r>
      <w:r>
        <w:t xml:space="preserve"> </w:t>
      </w:r>
      <w:r>
        <w:t xml:space="preserve">(Bartlett and Mendelson 2002)</w:t>
      </w:r>
      <w:r>
        <w:t xml:space="preserve">. We use it, in accuracy space, as a</w:t>
      </w:r>
      <w:r>
        <w:t xml:space="preserve"> </w:t>
      </w:r>
      <w:r>
        <w:rPr>
          <w:i/>
          <w:iCs/>
        </w:rPr>
        <w:t xml:space="preserve">spurious-fitting capacity</w:t>
      </w:r>
      <w:r>
        <w:t xml:space="preserve"> </w:t>
      </w:r>
      <w:r>
        <w:t xml:space="preserve">that applies unchanged to both methods—random labels</w:t>
      </w:r>
      <w:r>
        <w:t xml:space="preserve"> </w:t>
      </w:r>
      <w:r>
        <w:t xml:space="preserve">for a diagnostic probe, a randomly relabelled counterfactual target for causal probing</w:t>
      </w:r>
      <w:r>
        <w:t xml:space="preserve"> </w:t>
      </w:r>
      <w:r>
        <w:t xml:space="preserve">(DAS;</w:t>
      </w:r>
      <w:r>
        <w:t xml:space="preserve"> </w:t>
      </w:r>
      <w:r>
        <w:t xml:space="preserve">(Geiger et al. 2024)</w:t>
      </w:r>
      <w:r>
        <w:t xml:space="preserve">). Both methods fail in the limit, but they may fail at</w:t>
      </w:r>
      <w:r>
        <w:t xml:space="preserve"> </w:t>
      </w:r>
      <w:r>
        <w:t xml:space="preserve">different rates, and the method that fits random labels less readily is the safer one to</w:t>
      </w:r>
      <w:r>
        <w:t xml:space="preserve"> </w:t>
      </w:r>
      <w:r>
        <w:t xml:space="preserve">use.</w:t>
      </w:r>
    </w:p>
    <w:bookmarkEnd w:id="10"/>
    <w:bookmarkStart w:id="11" w:name="setup"/>
    <w:p>
      <w:pPr>
        <w:pStyle w:val="Heading1"/>
      </w:pPr>
      <w:r>
        <w:t xml:space="preserve">Setup</w:t>
      </w:r>
    </w:p>
    <w:p>
      <w:pPr>
        <w:pStyle w:val="FirstParagraph"/>
      </w:pPr>
      <w:r>
        <w:t xml:space="preserve">We use the hierarchical equality task of</w:t>
      </w:r>
      <w:r>
        <w:t xml:space="preserve"> </w:t>
      </w:r>
      <w:r>
        <w:t xml:space="preserve">Sutter et al. (2025)</w:t>
      </w:r>
      <w:r>
        <w:t xml:space="preserve">: the input is two</w:t>
      </w:r>
      <w:r>
        <w:t xml:space="preserve"> </w:t>
      </w:r>
      <w:r>
        <w:t xml:space="preserve">pairs of vectors and the label is whether the pairs are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equal or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unequal,</w:t>
      </w:r>
      <w:r>
        <w:t xml:space="preserve"> </w:t>
      </w:r>
      <m:oMath>
        <m:r>
          <m:t>O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t>​</m:t>
        </m:r>
        <m:r>
          <m:rPr>
            <m:sty m:val="p"/>
          </m:rPr>
          <m:t>=</m:t>
        </m:r>
        <m:r>
          <m:t>​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t>​</m:t>
        </m:r>
        <m:r>
          <m:rPr>
            <m:sty m:val="p"/>
          </m:rPr>
          <m:t>=</m:t>
        </m:r>
        <m:r>
          <m:t>​</m:t>
        </m:r>
        <m:r>
          <m:t>Z</m:t>
        </m:r>
        <m:r>
          <m:rPr>
            <m:sty m:val="p"/>
          </m:rPr>
          <m:t>)</m:t>
        </m:r>
      </m:oMath>
      <w:r>
        <w:t xml:space="preserve">. We train a small MLP to solve it and study the</w:t>
      </w:r>
      <w:r>
        <w:t xml:space="preserve"> </w:t>
      </w:r>
      <w:r>
        <w:t xml:space="preserve">intermediate concept</w:t>
      </w:r>
      <w:r>
        <w:t xml:space="preserve"> </w:t>
      </w:r>
      <m:oMath>
        <m:r>
          <m:rPr>
            <m:sty m:val="p"/>
          </m:rPr>
          <m:t>W</m:t>
        </m:r>
        <m:r>
          <m:rPr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t>​</m:t>
        </m:r>
        <m:r>
          <m:rPr>
            <m:sty m:val="p"/>
          </m:rPr>
          <m:t>=</m:t>
        </m:r>
        <m:r>
          <m:t>​</m:t>
        </m:r>
        <m:r>
          <m:t>X</m:t>
        </m:r>
        <m:r>
          <m:rPr>
            <m:sty m:val="p"/>
          </m:rPr>
          <m:t>)</m:t>
        </m:r>
      </m:oMath>
      <w:r>
        <w:t xml:space="preserve">. The diagnostic probe is a linear</w:t>
      </w:r>
      <w:r>
        <w:t xml:space="preserve"> </w:t>
      </w:r>
      <w:r>
        <w:t xml:space="preserve">classifier on the MLP’s first-layer activations; causal probing is linear DAS—a</w:t>
      </w:r>
      <w:r>
        <w:t xml:space="preserve"> </w:t>
      </w:r>
      <w:r>
        <w:t xml:space="preserve">learned rotation of those activations with an interchange intervention on the WX</w:t>
      </w:r>
      <w:r>
        <w:t xml:space="preserve"> </w:t>
      </w:r>
      <w:r>
        <w:t xml:space="preserve">subspace. We sweep the number of training examples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record each method’s</w:t>
      </w:r>
      <w:r>
        <w:t xml:space="preserve"> </w:t>
      </w:r>
      <w:r>
        <w:rPr>
          <w:i/>
          <w:iCs/>
        </w:rPr>
        <w:t xml:space="preserve">train-set fit</w:t>
      </w:r>
      <w:r>
        <w:t xml:space="preserve"> </w:t>
      </w:r>
      <w:r>
        <w:t xml:space="preserve">on the correct labels (signal) and on a fixed random relabelling</w:t>
      </w:r>
      <w:r>
        <w:t xml:space="preserve"> </w:t>
      </w:r>
      <w:r>
        <w:t xml:space="preserve">(spurious capacity).</w:t>
      </w:r>
    </w:p>
    <w:bookmarkEnd w:id="11"/>
    <w:bookmarkStart w:id="16" w:name="findings"/>
    <w:p>
      <w:pPr>
        <w:pStyle w:val="Heading1"/>
      </w:pPr>
      <w:r>
        <w:t xml:space="preserve">Findings</w:t>
      </w:r>
    </w:p>
    <w:p>
      <w:pPr>
        <w:pStyle w:val="FirstParagraph"/>
      </w:pPr>
      <w:r>
        <w:t xml:space="preserve">Both methods recover the concept on the correct labels: the probe decodes WX at</w:t>
      </w:r>
      <w:r>
        <w:t xml:space="preserve"> </w:t>
      </w:r>
      <m:oMath>
        <m:r>
          <m:rPr>
            <m:sty m:val="p"/>
          </m:rPr>
          <m:t>≈</m:t>
        </m:r>
        <m:r>
          <m:t>0.98</m:t>
        </m:r>
      </m:oMath>
      <w:r>
        <w:t xml:space="preserve">, and linear DAS reaches</w:t>
      </w:r>
      <w:r>
        <w:t xml:space="preserve"> </w:t>
      </w:r>
      <m:oMath>
        <m:r>
          <m:rPr>
            <m:sty m:val="p"/>
          </m:rPr>
          <m:t>≈</m:t>
        </m:r>
        <m:r>
          <m:t>0.999</m:t>
        </m:r>
      </m:oMath>
      <w:r>
        <w:t xml:space="preserve"> </w:t>
      </w:r>
      <w:r>
        <w:t xml:space="preserve">interchange-intervention accuracy.</w:t>
      </w:r>
      <w:r>
        <w:t xml:space="preserve"> </w:t>
      </w:r>
      <w:r>
        <w:t xml:space="preserve">So the feature is at once</w:t>
      </w:r>
      <w:r>
        <w:t xml:space="preserve"> </w:t>
      </w:r>
      <w:r>
        <w:rPr>
          <w:i/>
          <w:iCs/>
        </w:rPr>
        <w:t xml:space="preserve">decodable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interveneable</w:t>
      </w:r>
      <w:r>
        <w:t xml:space="preserve">.</w:t>
      </w:r>
    </w:p>
    <w:p>
      <w:pPr>
        <w:pStyle w:val="BodyText"/>
      </w:pPr>
      <w:r>
        <w:t xml:space="preserve">The comparison that matters is on the random labels (Figure </w:t>
      </w:r>
      <w:hyperlink w:anchor="fig:scaling">
        <w:r>
          <w:rPr>
            <w:rStyle w:val="Hyperlink"/>
          </w:rPr>
          <w:t xml:space="preserve">1</w:t>
        </w:r>
      </w:hyperlink>
      <w:r>
        <w:t xml:space="preserve">, dashed).</w:t>
      </w:r>
      <w:r>
        <w:t xml:space="preserve"> </w:t>
      </w:r>
      <w:r>
        <w:t xml:space="preserve">Both methods memorise the smallest dataset (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) and both decay toward chance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 In between—where capacity, not data, is the binding constraint—DAS fits the</w:t>
      </w:r>
      <w:r>
        <w:t xml:space="preserve"> </w:t>
      </w:r>
      <w:r>
        <w:t xml:space="preserve">random labels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readily than the probe at most sizes, most clearly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90</m:t>
        </m:r>
      </m:oMath>
      <w:r>
        <w:t xml:space="preserve"> </w:t>
      </w:r>
      <w:r>
        <w:t xml:space="preserve">(probe</w:t>
      </w:r>
      <w:r>
        <w:t xml:space="preserve"> </w:t>
      </w:r>
      <m:oMath>
        <m:r>
          <m:rPr>
            <m:sty m:val="p"/>
          </m:rPr>
          <m:t>≈</m:t>
        </m:r>
        <m:r>
          <m:t>0.86</m:t>
        </m:r>
      </m:oMath>
      <w:r>
        <w:t xml:space="preserve">, DAS</w:t>
      </w:r>
      <w:r>
        <w:t xml:space="preserve"> </w:t>
      </w:r>
      <m:oMath>
        <m:r>
          <m:rPr>
            <m:sty m:val="p"/>
          </m:rPr>
          <m:t>≈</m:t>
        </m:r>
        <m:r>
          <m:t>0.66</m:t>
        </m:r>
      </m:oMath>
      <w:r>
        <w:t xml:space="preserve">). Taken at face value, DAS reaches the same</w:t>
      </w:r>
      <w:r>
        <w:t xml:space="preserve"> </w:t>
      </w:r>
      <w:r>
        <w:t xml:space="preserve">signal while fitting noise less readily: its spurious-fitting capacity is the smaller of</w:t>
      </w:r>
      <w:r>
        <w:t xml:space="preserve"> </w:t>
      </w:r>
      <w:r>
        <w:t xml:space="preserve">the two. That is the direction the finite-complexity hypothesis predicts—causal probing</w:t>
      </w:r>
      <w:r>
        <w:t xml:space="preserve"> </w:t>
      </w:r>
      <w:r>
        <w:t xml:space="preserve">as the safer tool—even though, in the limit, both are equally vacuous.</w:t>
      </w:r>
    </w:p>
    <w:bookmarkStart w:id="15" w:name="fig:scaling"/>
    <w:p>
      <w:pPr>
        <w:pStyle w:val="CaptionedFigure"/>
      </w:pPr>
      <w:r>
        <w:drawing>
          <wp:inline>
            <wp:extent cx="3200400" cy="1206355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scaling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06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Train-set fit vs. number of training examples</w:t>
      </w:r>
      <w:r>
        <w:t xml:space="preserve"> </w:t>
      </w:r>
      <m:oMath>
        <m:r>
          <m:t>n</m:t>
        </m:r>
      </m:oMath>
      <w:r>
        <w:t xml:space="preserve">, for the diagnostic probe</w:t>
      </w:r>
      <w:r>
        <w:t xml:space="preserve"> </w:t>
      </w:r>
      <w:r>
        <w:t xml:space="preserve">and linear DAS, on correct labels (signal, solid) and a fixed random relabelling</w:t>
      </w:r>
      <w:r>
        <w:t xml:space="preserve"> </w:t>
      </w:r>
      <w:r>
        <w:t xml:space="preserve">(spurious capacity, dashed). Both recover WX on the correct labels; on random labels</w:t>
      </w:r>
      <w:r>
        <w:t xml:space="preserve"> </w:t>
      </w:r>
      <w:r>
        <w:t xml:space="preserve">both fall from perfect memorisation at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toward chance, and DAS’s curve lies at</w:t>
      </w:r>
      <w:r>
        <w:t xml:space="preserve"> </w:t>
      </w:r>
      <w:r>
        <w:t xml:space="preserve">or below the probe’s at most sizes (most clearly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90</m:t>
        </m:r>
      </m:oMath>
      <w:r>
        <w:t xml:space="preserve">), indicating lower</w:t>
      </w:r>
      <w:r>
        <w:t xml:space="preserve"> </w:t>
      </w:r>
      <w:r>
        <w:t xml:space="preserve">spurious-fitting capacity. Single seed.</w:t>
      </w:r>
    </w:p>
    <w:bookmarkEnd w:id="15"/>
    <w:p>
      <w:pPr>
        <w:pStyle w:val="BodyText"/>
      </w:pPr>
      <w:r>
        <w:t xml:space="preserve">We report this as suggestive, not settled. The curves are single-seed and noisy—they</w:t>
      </w:r>
      <w:r>
        <w:t xml:space="preserve"> </w:t>
      </w:r>
      <w:r>
        <w:t xml:space="preserve">cross once (at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</m:t>
        </m:r>
      </m:oMath>
      <w:r>
        <w:t xml:space="preserve">), and DAS’s correct-label fit wobbles at the smallest</w:t>
      </w:r>
      <w:r>
        <w:t xml:space="preserve"> </w:t>
      </w:r>
      <m:oMath>
        <m:r>
          <m:t>n</m:t>
        </m:r>
      </m:oMath>
      <w:r>
        <w:t xml:space="preserve">—so the</w:t>
      </w:r>
      <w:r>
        <w:t xml:space="preserve"> </w:t>
      </w:r>
      <w:r>
        <w:t xml:space="preserve">gap, which rests largely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90</m:t>
        </m:r>
      </m:oMath>
      <w:r>
        <w:t xml:space="preserve"> </w:t>
      </w:r>
      <w:r>
        <w:t xml:space="preserve">point, needs averaging over seeds before it is</w:t>
      </w:r>
      <w:r>
        <w:t xml:space="preserve"> </w:t>
      </w:r>
      <w:r>
        <w:t xml:space="preserve">leaned on.</w:t>
      </w:r>
    </w:p>
    <w:bookmarkEnd w:id="16"/>
    <w:bookmarkStart w:id="22" w:name="what-this-is-and-what-it-is-not"/>
    <w:p>
      <w:pPr>
        <w:pStyle w:val="Heading1"/>
      </w:pPr>
      <w:r>
        <w:t xml:space="preserve">What this is, and what it is not</w:t>
      </w:r>
    </w:p>
    <w:p>
      <w:pPr>
        <w:pStyle w:val="FirstParagraph"/>
      </w:pPr>
      <w:r>
        <w:t xml:space="preserve">This is a single-seed, single-task, linear-vs-linear comparison, with the</w:t>
      </w:r>
      <w:r>
        <w:t xml:space="preserve"> </w:t>
      </w:r>
      <w:r>
        <w:t xml:space="preserve">“complexity”</w:t>
      </w:r>
      <w:r>
        <w:t xml:space="preserve"> </w:t>
      </w:r>
      <w:r>
        <w:t xml:space="preserve">axis instantiated as dataset size rather than probe or alignment-map complexity proper.</w:t>
      </w:r>
      <w:r>
        <w:t xml:space="preserve"> </w:t>
      </w:r>
      <w:r>
        <w:t xml:space="preserve">Two notes from building it. First, an earlier version measured DAS at chance and we</w:t>
      </w:r>
      <w:r>
        <w:t xml:space="preserve"> </w:t>
      </w:r>
      <w:r>
        <w:t xml:space="preserve">nearly reported it as a negative result; that was an artefact of a multi-intervention</w:t>
      </w:r>
      <w:r>
        <w:t xml:space="preserve"> </w:t>
      </w:r>
      <w:r>
        <w:t xml:space="preserve">data generator—the joint intervention produced label-homogeneous batches with no</w:t>
      </w:r>
      <w:r>
        <w:t xml:space="preserve"> </w:t>
      </w:r>
      <w:r>
        <w:t xml:space="preserve">training signal—not a property of linear alignment, and restricting to a single,</w:t>
      </w:r>
      <w:r>
        <w:t xml:space="preserve"> </w:t>
      </w:r>
      <w:r>
        <w:t xml:space="preserve">balanced intervention fixed it. Second, causal-probe training must be judged by a</w:t>
      </w:r>
      <w:r>
        <w:t xml:space="preserve"> </w:t>
      </w:r>
      <w:r>
        <w:t xml:space="preserve">held-out, order-independent evaluation, not the running training accuracy, which drifts</w:t>
      </w:r>
      <w:r>
        <w:t xml:space="preserve"> </w:t>
      </w:r>
      <w:r>
        <w:t xml:space="preserve">misleadingly. The natural next steps are averaging over seeds and sweeping a genuine</w:t>
      </w:r>
      <w:r>
        <w:t xml:space="preserve"> </w:t>
      </w:r>
      <w:r>
        <w:t xml:space="preserve">complexity axis (deeper probes; non-linear RevNet alignment maps), the regime in which</w:t>
      </w:r>
      <w:r>
        <w:t xml:space="preserve"> </w:t>
      </w:r>
      <w:r>
        <w:t xml:space="preserve">the limit results of</w:t>
      </w:r>
      <w:r>
        <w:t xml:space="preserve"> </w:t>
      </w:r>
      <w:r>
        <w:t xml:space="preserve">Pimentel et al. (2020)</w:t>
      </w:r>
      <w:r>
        <w:t xml:space="preserve"> </w:t>
      </w:r>
      <w:r>
        <w:t xml:space="preserve">and</w:t>
      </w:r>
      <w:r>
        <w:t xml:space="preserve"> </w:t>
      </w:r>
      <w:r>
        <w:t xml:space="preserve">Sutter et al. (2025)</w:t>
      </w:r>
      <w:r>
        <w:t xml:space="preserve"> </w:t>
      </w:r>
      <w:r>
        <w:t xml:space="preserve">guarantee that both methods must eventually fail.</w:t>
      </w:r>
    </w:p>
    <w:bookmarkStart w:id="21" w:name="refs"/>
    <w:bookmarkStart w:id="17" w:name="ref-bartlett2002rademacher"/>
    <w:p>
      <w:pPr>
        <w:pStyle w:val="Bibliography"/>
      </w:pPr>
      <w:r>
        <w:t xml:space="preserve">Bartlett, Peter L., and Shahar Mendelson. 2002.</w:t>
      </w:r>
      <w:r>
        <w:t xml:space="preserve"> </w:t>
      </w:r>
      <w:r>
        <w:t xml:space="preserve">“Rademacher and</w:t>
      </w:r>
      <w:r>
        <w:t xml:space="preserve"> </w:t>
      </w:r>
      <w:r>
        <w:t xml:space="preserve">Gaussian</w:t>
      </w:r>
      <w:r>
        <w:t xml:space="preserve"> </w:t>
      </w:r>
      <w:r>
        <w:t xml:space="preserve">Complexities: Risk Bounds and Structural Results.”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3: 463–82.</w:t>
      </w:r>
    </w:p>
    <w:bookmarkEnd w:id="17"/>
    <w:bookmarkStart w:id="18" w:name="ref-geiger2024finding"/>
    <w:p>
      <w:pPr>
        <w:pStyle w:val="Bibliography"/>
      </w:pPr>
      <w:r>
        <w:t xml:space="preserve">Geiger, Atticus, Zhengxuan Wu, Christopher Potts, Thomas Icard, and Noah D. Goodman. 2024.</w:t>
      </w:r>
      <w:r>
        <w:t xml:space="preserve"> </w:t>
      </w:r>
      <w:r>
        <w:t xml:space="preserve">“Finding Alignments Between Interpretable Causal Variables and Distributed Neural Representations.”</w:t>
      </w:r>
      <w:r>
        <w:t xml:space="preserve"> </w:t>
      </w:r>
      <w:r>
        <w:rPr>
          <w:i/>
          <w:iCs/>
        </w:rPr>
        <w:t xml:space="preserve">Causal Learning and Reasoning</w:t>
      </w:r>
      <w:r>
        <w:t xml:space="preserve">.</w:t>
      </w:r>
    </w:p>
    <w:bookmarkEnd w:id="18"/>
    <w:bookmarkStart w:id="19" w:name="ref-pimentel2020information"/>
    <w:p>
      <w:pPr>
        <w:pStyle w:val="Bibliography"/>
      </w:pPr>
      <w:r>
        <w:t xml:space="preserve">Pimentel, Tiago, Josef Valvoda, Rowan Hall Maudslay, Ran Zmigrod, Adina Williams, and Ryan Cotterell. 2020.</w:t>
      </w:r>
      <w:r>
        <w:t xml:space="preserve"> </w:t>
      </w:r>
      <w:r>
        <w:t xml:space="preserve">“Information-Theoretic Probing for Linguistic Structure.”</w:t>
      </w:r>
      <w:r>
        <w:t xml:space="preserve"> </w:t>
      </w:r>
      <w:r>
        <w:rPr>
          <w:i/>
          <w:iCs/>
        </w:rPr>
        <w:t xml:space="preserve">Proceedings of the 58th Annual Meeting of the Association for Computational Linguistics</w:t>
      </w:r>
      <w:r>
        <w:t xml:space="preserve">, 4609–22.</w:t>
      </w:r>
    </w:p>
    <w:bookmarkEnd w:id="19"/>
    <w:bookmarkStart w:id="20" w:name="ref-sutter2025nonlinear"/>
    <w:p>
      <w:pPr>
        <w:pStyle w:val="Bibliography"/>
      </w:pPr>
      <w:r>
        <w:t xml:space="preserve">Sutter, Denis, Julian Minder, Thomas Hofmann, and Tiago Pimentel. 2025.</w:t>
      </w:r>
      <w:r>
        <w:t xml:space="preserve"> </w:t>
      </w:r>
      <w:r>
        <w:t xml:space="preserve">“The Non-Linear Representation Dilemma: Is Causal Abstraction Enough for Mechanistic Interpretability?”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Does causal probing resist spurious features better than diagnostic probing? A finite-complexity view</dc:title>
  <dc:creator>Tiago Pimentel ETH Zürich tiago.pimentel@inf.ethz.ch</dc:creator>
  <cp:keywords/>
  <dcterms:created xsi:type="dcterms:W3CDTF">2026-06-02T00:46:40Z</dcterms:created>
  <dcterms:modified xsi:type="dcterms:W3CDTF">2026-06-02T00:46:40Z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date">
    <vt:lpwstr>2026-06-02</vt:lpwstr>
  </property>
</Properties>
</file>