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rPr>
        <w:t xml:space="preserve"/>
      </w:r>
    </w:p>
    <w:p>
      <w:pPr>
        <w:spacing w:after="240"/>
        <w:jc w:val="center"/>
      </w:pPr>
      <w:r>
        <w:rPr>
          <w:rFonts w:ascii="Calibri" w:cs="Calibri" w:eastAsia="Calibri" w:hAnsi="Calibri"/>
          <w:b/>
          <w:bCs/>
          <w:color w:val="0B5FFF"/>
          <w:sz w:val="72"/>
          <w:szCs w:val="72"/>
        </w:rPr>
        <w:t xml:space="preserve">CRM CODE DEMO</w:t>
      </w:r>
    </w:p>
    <w:p>
      <w:pPr>
        <w:spacing w:after="120"/>
        <w:jc w:val="center"/>
      </w:pPr>
      <w:r>
        <w:rPr>
          <w:rFonts w:ascii="Calibri" w:cs="Calibri" w:eastAsia="Calibri" w:hAnsi="Calibri"/>
          <w:color w:val="4A4A4A"/>
          <w:sz w:val="28"/>
          <w:szCs w:val="28"/>
        </w:rPr>
        <w:t xml:space="preserve">A Security-First Multi-Tenant CRM — Engineering Showcase</w:t>
      </w:r>
    </w:p>
    <w:p>
      <w:pPr>
        <w:spacing w:after="1600"/>
        <w:jc w:val="center"/>
      </w:pPr>
      <w:r>
        <w:rPr>
          <w:rFonts w:ascii="Calibri" w:cs="Calibri" w:eastAsia="Calibri" w:hAnsi="Calibri"/>
          <w:i/>
          <w:iCs/>
          <w:color w:val="4A4A4A"/>
          <w:sz w:val="22"/>
          <w:szCs w:val="22"/>
        </w:rPr>
        <w:t xml:space="preserve">Prepared for cybersecurity practice leaders evaluating development partners</w:t>
      </w:r>
    </w:p>
    <w:p>
      <w:pPr>
        <w:spacing w:after="80"/>
        <w:jc w:val="center"/>
      </w:pPr>
      <w:r>
        <w:rPr>
          <w:rFonts w:ascii="Calibri" w:cs="Calibri" w:eastAsia="Calibri" w:hAnsi="Calibri"/>
          <w:b/>
          <w:bCs/>
          <w:color w:val="1A1A1A"/>
          <w:sz w:val="32"/>
          <w:szCs w:val="32"/>
        </w:rPr>
        <w:t xml:space="preserve">Jigar Patel</w:t>
      </w:r>
    </w:p>
    <w:p>
      <w:pPr>
        <w:spacing w:after="60"/>
        <w:jc w:val="center"/>
      </w:pPr>
      <w:r>
        <w:rPr>
          <w:rFonts w:ascii="Calibri" w:cs="Calibri" w:eastAsia="Calibri" w:hAnsi="Calibri"/>
          <w:color w:val="4A4A4A"/>
          <w:sz w:val="22"/>
          <w:szCs w:val="22"/>
        </w:rPr>
        <w:t xml:space="preserve">Senior Laravel &amp; React Engineer</w:t>
      </w:r>
    </w:p>
    <w:p>
      <w:pPr>
        <w:spacing w:after="60"/>
        <w:jc w:val="center"/>
      </w:pPr>
      <w:r>
        <w:rPr>
          <w:rFonts w:ascii="Calibri" w:cs="Calibri" w:eastAsia="Calibri" w:hAnsi="Calibri"/>
          <w:color w:val="0B5FFF"/>
          <w:sz w:val="22"/>
          <w:szCs w:val="22"/>
        </w:rPr>
        <w:t xml:space="preserve">tp.jigar@gmail.com  ·  github.com/tpjigar</w:t>
      </w:r>
    </w:p>
    <w:p>
      <w:pPr>
        <w:spacing w:after="0"/>
        <w:jc w:val="center"/>
      </w:pPr>
      <w:r>
        <w:rPr>
          <w:rFonts w:ascii="Calibri" w:cs="Calibri" w:eastAsia="Calibri" w:hAnsi="Calibri"/>
          <w:i/>
          <w:iCs/>
          <w:color w:val="4A4A4A"/>
          <w:sz w:val="20"/>
          <w:szCs w:val="20"/>
        </w:rPr>
        <w:t xml:space="preserve">Version 1.0  ·  October 2026</w:t>
      </w:r>
    </w:p>
    <w:p>
      <w:r>
        <w:br w:type="page"/>
      </w:r>
    </w:p>
    <w:p>
      <w:pPr>
        <w:pStyle w:val="Heading1"/>
        <w:spacing w:after="200" w:before="400"/>
      </w:pPr>
      <w:r>
        <w:rPr>
          <w:rFonts w:ascii="Calibri" w:cs="Calibri" w:eastAsia="Calibri" w:hAnsi="Calibri"/>
          <w:b/>
          <w:bCs/>
          <w:color w:val="0B5FFF"/>
          <w:sz w:val="40"/>
          <w:szCs w:val="40"/>
        </w:rPr>
        <w:t xml:space="preserve">Executive Summary</w:t>
      </w:r>
    </w:p>
    <w:p>
      <w:pPr>
        <w:pBdr>
          <w:bottom w:val="single" w:color="D6DCE5" w:sz="6" w:space="1"/>
        </w:pBdr>
        <w:spacing w:after="240" w:before="100"/>
      </w:pPr>
      <w:r>
        <w:t xml:space="preserve"/>
      </w:r>
    </w:p>
    <w:p>
      <w:pPr>
        <w:spacing w:after="120" w:line="300"/>
      </w:pPr>
      <w:r>
        <w:rPr>
          <w:rFonts w:ascii="Calibri" w:cs="Calibri" w:eastAsia="Calibri" w:hAnsi="Calibri"/>
          <w:color w:val="1A1A1A"/>
          <w:sz w:val="22"/>
          <w:szCs w:val="22"/>
        </w:rPr>
        <w:t xml:space="preserve">This document presents a complete, production-grade customer relationship management (CRM) system, built from scratch as a working code sample. It is designed to let a cybersecurity practice evaluate how we build software before a formal engagement begins.</w:t>
      </w:r>
    </w:p>
    <w:p>
      <w:pPr>
        <w:spacing w:after="120" w:line="300"/>
      </w:pPr>
      <w:r>
        <w:rPr>
          <w:rFonts w:ascii="Calibri" w:cs="Calibri" w:eastAsia="Calibri" w:hAnsi="Calibri"/>
          <w:color w:val="1A1A1A"/>
          <w:sz w:val="22"/>
          <w:szCs w:val="22"/>
        </w:rPr>
        <w:t xml:space="preserve">Rather than describe our capabilities, we demonstrated them. The result is a fully functional CRM — with secure logins, multi-tenant data isolation, incident tracking, audit trails and a session management console — that you can run on your own machine in under three minutes and inspect, module by module, in a public GitHub repository.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5FFF" w:sz="24"/>
              <w:left w:val="single" w:color="0B5FFF" w:sz="24"/>
              <w:bottom w:val="single" w:color="0B5FFF" w:sz="4"/>
              <w:right w:val="single" w:color="0B5FFF" w:sz="4"/>
            </w:tcBorders>
            <w:shd w:fill="F3F6FB" w:color="auto" w:val="clear"/>
            <w:tcMar>
              <w:top w:type="dxa" w:w="220"/>
              <w:left w:type="dxa" w:w="260"/>
              <w:bottom w:type="dxa" w:w="220"/>
              <w:right w:type="dxa" w:w="260"/>
            </w:tcMar>
          </w:tcPr>
          <w:p>
            <w:pPr>
              <w:spacing w:after="100"/>
            </w:pPr>
            <w:r>
              <w:rPr>
                <w:rFonts w:ascii="Calibri" w:cs="Calibri" w:eastAsia="Calibri" w:hAnsi="Calibri"/>
                <w:b/>
                <w:bCs/>
                <w:color w:val="0B5FFF"/>
                <w:sz w:val="22"/>
                <w:szCs w:val="22"/>
              </w:rPr>
              <w:t xml:space="preserve">Why this matters to a cybersecurity firm</w:t>
            </w:r>
          </w:p>
          <w:p>
            <w:pPr>
              <w:spacing w:after="0" w:line="300"/>
            </w:pPr>
            <w:r>
              <w:rPr>
                <w:rFonts w:ascii="Calibri" w:cs="Calibri" w:eastAsia="Calibri" w:hAnsi="Calibri"/>
                <w:color w:val="1A1A1A"/>
                <w:sz w:val="22"/>
                <w:szCs w:val="22"/>
              </w:rPr>
              <w:t xml:space="preserve">The applications we build hold sensitive data about your clients. A development partner that treats security as a design input — not a last-minute checklist — reduces your breach risk, your audit workload and your rework cost. Everything in the demo repository is a decision we made deliberately, and every security control is backed by an automated test that will fail loudly if a future change breaks it.</w:t>
            </w:r>
          </w:p>
        </w:tc>
      </w:tr>
    </w:tbl>
    <w:p>
      <w:pPr>
        <w:spacing w:after="160"/>
      </w:pPr>
      <w:r>
        <w:t xml:space="preserve"/>
      </w:r>
    </w:p>
    <w:p>
      <w:pPr>
        <w:pStyle w:val="Heading3"/>
        <w:spacing w:after="160" w:before="300"/>
      </w:pPr>
      <w:r>
        <w:rPr>
          <w:rFonts w:ascii="Calibri" w:cs="Calibri" w:eastAsia="Calibri" w:hAnsi="Calibri"/>
          <w:b/>
          <w:bCs/>
          <w:color w:val="1A1A1A"/>
          <w:sz w:val="24"/>
          <w:szCs w:val="24"/>
        </w:rPr>
        <w:t xml:space="preserve">At a glance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D6DCE5" w:sz="4"/>
              <w:left w:val="single" w:color="D6DCE5" w:sz="4"/>
              <w:bottom w:val="single" w:color="D6DCE5" w:sz="4"/>
              <w:right w:val="single" w:color="D6DCE5" w:sz="4"/>
            </w:tcBorders>
            <w:shd w:fill="0B5FFF" w:color="auto" w:val="clear"/>
            <w:tcMar>
              <w:top w:type="dxa" w:w="140"/>
              <w:left w:type="dxa" w:w="160"/>
              <w:bottom w:type="dxa" w:w="140"/>
              <w:right w:type="dxa" w:w="160"/>
            </w:tcMar>
            <w:vAlign w:val="center"/>
          </w:tcPr>
          <w:p>
            <w:pPr>
              <w:spacing w:after="0" w:line="280"/>
              <w:jc w:val="left"/>
            </w:pPr>
            <w:r>
              <w:rPr>
                <w:rFonts w:ascii="Calibri" w:cs="Calibri" w:eastAsia="Calibri" w:hAnsi="Calibri"/>
                <w:b/>
                <w:bCs/>
                <w:color w:val="FFFFFF"/>
                <w:sz w:val="20"/>
                <w:szCs w:val="20"/>
              </w:rPr>
              <w:t xml:space="preserve">Dimension</w:t>
            </w:r>
          </w:p>
        </w:tc>
        <w:tc>
          <w:tcPr>
            <w:tcW w:type="dxa" w:w="7000"/>
            <w:tcBorders>
              <w:top w:val="single" w:color="D6DCE5" w:sz="4"/>
              <w:left w:val="single" w:color="D6DCE5" w:sz="4"/>
              <w:bottom w:val="single" w:color="D6DCE5" w:sz="4"/>
              <w:right w:val="single" w:color="D6DCE5" w:sz="4"/>
            </w:tcBorders>
            <w:shd w:fill="0B5FFF" w:color="auto" w:val="clear"/>
            <w:tcMar>
              <w:top w:type="dxa" w:w="140"/>
              <w:left w:type="dxa" w:w="160"/>
              <w:bottom w:type="dxa" w:w="140"/>
              <w:right w:type="dxa" w:w="160"/>
            </w:tcMar>
            <w:vAlign w:val="center"/>
          </w:tcPr>
          <w:p>
            <w:pPr>
              <w:spacing w:after="0" w:line="280"/>
              <w:jc w:val="left"/>
            </w:pPr>
            <w:r>
              <w:rPr>
                <w:rFonts w:ascii="Calibri" w:cs="Calibri" w:eastAsia="Calibri" w:hAnsi="Calibri"/>
                <w:b/>
                <w:bCs/>
                <w:color w:val="FFFFFF"/>
                <w:sz w:val="20"/>
                <w:szCs w:val="20"/>
              </w:rPr>
              <w:t xml:space="preserve">What we delivered</w:t>
            </w:r>
          </w:p>
        </w:tc>
      </w:tr>
      <w:tr>
        <w:tc>
          <w:tcPr>
            <w:tcW w:type="dxa" w:w="24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Scope</w:t>
            </w:r>
          </w:p>
        </w:tc>
        <w:tc>
          <w:tcPr>
            <w:tcW w:type="dxa" w:w="70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Full CRM with 4 business modules + 1 security operations module</w:t>
            </w:r>
          </w:p>
        </w:tc>
      </w:tr>
      <w:tr>
        <w:tc>
          <w:tcPr>
            <w:tcW w:type="dxa" w:w="24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User panels</w:t>
            </w:r>
          </w:p>
        </w:tc>
        <w:tc>
          <w:tcPr>
            <w:tcW w:type="dxa" w:w="70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Super Admin console and Client Portal, with strict role-based access</w:t>
            </w:r>
          </w:p>
        </w:tc>
      </w:tr>
      <w:tr>
        <w:tc>
          <w:tcPr>
            <w:tcW w:type="dxa" w:w="24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Multi-tenancy</w:t>
            </w:r>
          </w:p>
        </w:tc>
        <w:tc>
          <w:tcPr>
            <w:tcW w:type="dxa" w:w="70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Each client sees only their own data, enforced at the database layer</w:t>
            </w:r>
          </w:p>
        </w:tc>
      </w:tr>
      <w:tr>
        <w:tc>
          <w:tcPr>
            <w:tcW w:type="dxa" w:w="24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Security controls</w:t>
            </w:r>
          </w:p>
        </w:tc>
        <w:tc>
          <w:tcPr>
            <w:tcW w:type="dxa" w:w="70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Two-factor auth, lockout, strong passwords, 90-day rotation, security headers, suspicious-login alerts, PII masking, session revocation, audit log</w:t>
            </w:r>
          </w:p>
        </w:tc>
      </w:tr>
      <w:tr>
        <w:tc>
          <w:tcPr>
            <w:tcW w:type="dxa" w:w="24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Automated tests</w:t>
            </w:r>
          </w:p>
        </w:tc>
        <w:tc>
          <w:tcPr>
            <w:tcW w:type="dxa" w:w="70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136 tests covering every security-sensitive path (487 individual checks)</w:t>
            </w:r>
          </w:p>
        </w:tc>
      </w:tr>
      <w:tr>
        <w:tc>
          <w:tcPr>
            <w:tcW w:type="dxa" w:w="24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Code quality</w:t>
            </w:r>
          </w:p>
        </w:tc>
        <w:tc>
          <w:tcPr>
            <w:tcW w:type="dxa" w:w="70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Static analysis (level 6) clean · Style check clean · Strict typing clean</w:t>
            </w:r>
          </w:p>
        </w:tc>
      </w:tr>
      <w:tr>
        <w:tc>
          <w:tcPr>
            <w:tcW w:type="dxa" w:w="24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Release process</w:t>
            </w:r>
          </w:p>
        </w:tc>
        <w:tc>
          <w:tcPr>
            <w:tcW w:type="dxa" w:w="70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Three-tier promotion — development → staging → production — with 26 merged pull requests</w:t>
            </w:r>
          </w:p>
        </w:tc>
      </w:tr>
    </w:tbl>
    <w:p>
      <w:r>
        <w:br w:type="page"/>
      </w:r>
    </w:p>
    <w:p>
      <w:pPr>
        <w:pStyle w:val="Heading1"/>
        <w:spacing w:after="200" w:before="400"/>
      </w:pPr>
      <w:r>
        <w:rPr>
          <w:rFonts w:ascii="Calibri" w:cs="Calibri" w:eastAsia="Calibri" w:hAnsi="Calibri"/>
          <w:b/>
          <w:bCs/>
          <w:color w:val="0B5FFF"/>
          <w:sz w:val="40"/>
          <w:szCs w:val="40"/>
        </w:rPr>
        <w:t xml:space="preserve">Why This Project Is Relevant to Your Practice</w:t>
      </w:r>
    </w:p>
    <w:p>
      <w:pPr>
        <w:pBdr>
          <w:bottom w:val="single" w:color="D6DCE5" w:sz="6" w:space="1"/>
        </w:pBdr>
        <w:spacing w:after="240" w:before="100"/>
      </w:pPr>
      <w:r>
        <w:t xml:space="preserve"/>
      </w:r>
    </w:p>
    <w:p>
      <w:pPr>
        <w:spacing w:after="120" w:line="300"/>
      </w:pPr>
      <w:r>
        <w:rPr>
          <w:rFonts w:ascii="Calibri" w:cs="Calibri" w:eastAsia="Calibri" w:hAnsi="Calibri"/>
          <w:color w:val="1A1A1A"/>
          <w:sz w:val="22"/>
          <w:szCs w:val="22"/>
        </w:rPr>
        <w:t xml:space="preserve">Cybersecurity consultancies have a specific profile when they commission software. Their clients are regulators, large enterprises and government bodies. Their liability for data handling is higher than most industries. Their reviewers — often auditors — look at the artifact of the development process, not just the finished product.</w:t>
      </w:r>
    </w:p>
    <w:p>
      <w:pPr>
        <w:pStyle w:val="Heading3"/>
        <w:spacing w:after="160" w:before="300"/>
      </w:pPr>
      <w:r>
        <w:rPr>
          <w:rFonts w:ascii="Calibri" w:cs="Calibri" w:eastAsia="Calibri" w:hAnsi="Calibri"/>
          <w:b/>
          <w:bCs/>
          <w:color w:val="1A1A1A"/>
          <w:sz w:val="24"/>
          <w:szCs w:val="24"/>
        </w:rPr>
        <w:t xml:space="preserve">What that means in practice</w:t>
      </w:r>
    </w:p>
    <w:p>
      <w:pPr>
        <w:pStyle w:val="ListParagraph"/>
        <w:numPr>
          <w:ilvl w:val="0"/>
          <w:numId w:val="2"/>
        </w:numPr>
        <w:spacing w:after="100" w:line="300"/>
      </w:pPr>
      <w:r>
        <w:rPr>
          <w:rFonts w:ascii="Calibri" w:cs="Calibri" w:eastAsia="Calibri" w:hAnsi="Calibri"/>
          <w:b/>
          <w:bCs/>
          <w:color w:val="1A1A1A"/>
          <w:sz w:val="22"/>
          <w:szCs w:val="22"/>
        </w:rPr>
        <w:t xml:space="preserve">Audit-friendly by default</w:t>
      </w:r>
      <w:r>
        <w:rPr>
          <w:rFonts w:ascii="Calibri" w:cs="Calibri" w:eastAsia="Calibri" w:hAnsi="Calibri"/>
          <w:color w:val="1A1A1A"/>
          <w:sz w:val="22"/>
          <w:szCs w:val="22"/>
        </w:rPr>
        <w:t xml:space="preserve">. Every control shown here maps to a question a security auditor is likely to ask about an application you deliver (authentication strength, access control, data isolation, audit trail, incident response posture).</w:t>
      </w:r>
    </w:p>
    <w:p>
      <w:pPr>
        <w:pStyle w:val="ListParagraph"/>
        <w:numPr>
          <w:ilvl w:val="0"/>
          <w:numId w:val="2"/>
        </w:numPr>
        <w:spacing w:after="100" w:line="300"/>
      </w:pPr>
      <w:r>
        <w:rPr>
          <w:rFonts w:ascii="Calibri" w:cs="Calibri" w:eastAsia="Calibri" w:hAnsi="Calibri"/>
          <w:b/>
          <w:bCs/>
          <w:color w:val="1A1A1A"/>
          <w:sz w:val="22"/>
          <w:szCs w:val="22"/>
        </w:rPr>
        <w:t xml:space="preserve">Transparent engineering trail</w:t>
      </w:r>
      <w:r>
        <w:rPr>
          <w:rFonts w:ascii="Calibri" w:cs="Calibri" w:eastAsia="Calibri" w:hAnsi="Calibri"/>
          <w:color w:val="1A1A1A"/>
          <w:sz w:val="22"/>
          <w:szCs w:val="22"/>
        </w:rPr>
        <w:t xml:space="preserve">. The repository shows how decisions were made and when, through a disciplined commit and pull-request history. Compliance reviewers can trace every production deployment back to a reviewed change.</w:t>
      </w:r>
    </w:p>
    <w:p>
      <w:pPr>
        <w:pStyle w:val="ListParagraph"/>
        <w:numPr>
          <w:ilvl w:val="0"/>
          <w:numId w:val="2"/>
        </w:numPr>
        <w:spacing w:after="100" w:line="300"/>
      </w:pPr>
      <w:r>
        <w:rPr>
          <w:rFonts w:ascii="Calibri" w:cs="Calibri" w:eastAsia="Calibri" w:hAnsi="Calibri"/>
          <w:b/>
          <w:bCs/>
          <w:color w:val="1A1A1A"/>
          <w:sz w:val="22"/>
          <w:szCs w:val="22"/>
        </w:rPr>
        <w:t xml:space="preserve">Regression-safe</w:t>
      </w:r>
      <w:r>
        <w:rPr>
          <w:rFonts w:ascii="Calibri" w:cs="Calibri" w:eastAsia="Calibri" w:hAnsi="Calibri"/>
          <w:color w:val="1A1A1A"/>
          <w:sz w:val="22"/>
          <w:szCs w:val="22"/>
        </w:rPr>
        <w:t xml:space="preserve">. Automated tests prevent accidental regressions in security-sensitive code. If a future developer accidentally removes a tenant isolation check, the test suite stops the deploy before it reaches production.</w:t>
      </w:r>
    </w:p>
    <w:p>
      <w:pPr>
        <w:pStyle w:val="ListParagraph"/>
        <w:numPr>
          <w:ilvl w:val="0"/>
          <w:numId w:val="2"/>
        </w:numPr>
        <w:spacing w:after="100" w:line="300"/>
      </w:pPr>
      <w:r>
        <w:rPr>
          <w:rFonts w:ascii="Calibri" w:cs="Calibri" w:eastAsia="Calibri" w:hAnsi="Calibri"/>
          <w:b/>
          <w:bCs/>
          <w:color w:val="1A1A1A"/>
          <w:sz w:val="22"/>
          <w:szCs w:val="22"/>
        </w:rPr>
        <w:t xml:space="preserve">Incident-domain fluent</w:t>
      </w:r>
      <w:r>
        <w:rPr>
          <w:rFonts w:ascii="Calibri" w:cs="Calibri" w:eastAsia="Calibri" w:hAnsi="Calibri"/>
          <w:color w:val="1A1A1A"/>
          <w:sz w:val="22"/>
          <w:szCs w:val="22"/>
        </w:rPr>
        <w:t xml:space="preserve">. The core demonstration — the Incidents module — mirrors the ISO/IEC 27035 incident response lifecycle, including severity-based acknowledgement service level agreements (SLAs). We speak your clients' language.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F5B" w:sz="24"/>
              <w:left w:val="single" w:color="0E8F5B" w:sz="24"/>
              <w:bottom w:val="single" w:color="0E8F5B" w:sz="4"/>
              <w:right w:val="single" w:color="0E8F5B" w:sz="4"/>
            </w:tcBorders>
            <w:shd w:fill="EEFBF5" w:color="auto" w:val="clear"/>
            <w:tcMar>
              <w:top w:type="dxa" w:w="220"/>
              <w:left w:type="dxa" w:w="260"/>
              <w:bottom w:type="dxa" w:w="220"/>
              <w:right w:type="dxa" w:w="260"/>
            </w:tcMar>
          </w:tcPr>
          <w:p>
            <w:pPr>
              <w:spacing w:after="100"/>
            </w:pPr>
            <w:r>
              <w:rPr>
                <w:rFonts w:ascii="Calibri" w:cs="Calibri" w:eastAsia="Calibri" w:hAnsi="Calibri"/>
                <w:b/>
                <w:bCs/>
                <w:color w:val="0E8F5B"/>
                <w:sz w:val="22"/>
                <w:szCs w:val="22"/>
              </w:rPr>
              <w:t xml:space="preserve">Trust is earned by what reviewers can verify</w:t>
            </w:r>
          </w:p>
          <w:p>
            <w:pPr>
              <w:spacing w:after="0" w:line="300"/>
            </w:pPr>
            <w:r>
              <w:rPr>
                <w:rFonts w:ascii="Calibri" w:cs="Calibri" w:eastAsia="Calibri" w:hAnsi="Calibri"/>
                <w:color w:val="1A1A1A"/>
                <w:sz w:val="22"/>
                <w:szCs w:val="22"/>
              </w:rPr>
              <w:t xml:space="preserve">Every claim in this document — test counts, security controls, tenant isolation guarantees — is backed by code and tests in the public repository. There is nothing here you have to take on faith.</w:t>
            </w:r>
          </w:p>
        </w:tc>
      </w:tr>
    </w:tbl>
    <w:p>
      <w:r>
        <w:br w:type="page"/>
      </w:r>
    </w:p>
    <w:p>
      <w:pPr>
        <w:pStyle w:val="Heading1"/>
        <w:spacing w:after="200" w:before="400"/>
      </w:pPr>
      <w:r>
        <w:rPr>
          <w:rFonts w:ascii="Calibri" w:cs="Calibri" w:eastAsia="Calibri" w:hAnsi="Calibri"/>
          <w:b/>
          <w:bCs/>
          <w:color w:val="0B5FFF"/>
          <w:sz w:val="40"/>
          <w:szCs w:val="40"/>
        </w:rPr>
        <w:t xml:space="preserve">What Is Inside the Application</w:t>
      </w:r>
    </w:p>
    <w:p>
      <w:pPr>
        <w:pBdr>
          <w:bottom w:val="single" w:color="D6DCE5" w:sz="6" w:space="1"/>
        </w:pBdr>
        <w:spacing w:after="240" w:before="100"/>
      </w:pPr>
      <w:r>
        <w:t xml:space="preserve"/>
      </w:r>
    </w:p>
    <w:p>
      <w:pPr>
        <w:spacing w:after="120" w:line="300"/>
      </w:pPr>
      <w:r>
        <w:rPr>
          <w:rFonts w:ascii="Calibri" w:cs="Calibri" w:eastAsia="Calibri" w:hAnsi="Calibri"/>
          <w:color w:val="1A1A1A"/>
          <w:sz w:val="22"/>
          <w:szCs w:val="22"/>
        </w:rPr>
        <w:t xml:space="preserve">The CRM is organised into five functional areas. Each one was chosen to exercise a different pattern that your projects will likely need.</w:t>
      </w:r>
    </w:p>
    <w:p>
      <w:pPr>
        <w:spacing w:after="60" w:before="240"/>
      </w:pPr>
      <w:r>
        <w:rPr>
          <w:rFonts w:ascii="Calibri" w:cs="Calibri" w:eastAsia="Calibri" w:hAnsi="Calibri"/>
          <w:b/>
          <w:bCs/>
          <w:color w:val="0B5FFF"/>
          <w:sz w:val="26"/>
          <w:szCs w:val="26"/>
        </w:rPr>
        <w:t xml:space="preserve">1 — Clients</w:t>
      </w:r>
    </w:p>
    <w:p>
      <w:pPr>
        <w:spacing w:after="100"/>
      </w:pPr>
      <w:r>
        <w:rPr>
          <w:rFonts w:ascii="Calibri" w:cs="Calibri" w:eastAsia="Calibri" w:hAnsi="Calibri"/>
          <w:i/>
          <w:iCs/>
          <w:color w:val="4A4A4A"/>
          <w:sz w:val="22"/>
          <w:szCs w:val="22"/>
        </w:rPr>
        <w:t xml:space="preserve">The master record for each organisation under management.</w:t>
      </w:r>
    </w:p>
    <w:p>
      <w:pPr>
        <w:pStyle w:val="ListParagraph"/>
        <w:numPr>
          <w:ilvl w:val="0"/>
          <w:numId w:val="2"/>
        </w:numPr>
        <w:spacing w:after="100" w:line="300"/>
      </w:pPr>
      <w:r>
        <w:rPr>
          <w:rFonts w:ascii="Calibri" w:cs="Calibri" w:eastAsia="Calibri" w:hAnsi="Calibri"/>
          <w:b/>
          <w:bCs/>
          <w:color w:val="1A1A1A"/>
          <w:sz w:val="22"/>
          <w:szCs w:val="22"/>
        </w:rPr>
        <w:t xml:space="preserve">Full lifecycle: </w:t>
      </w:r>
      <w:r>
        <w:rPr>
          <w:rFonts w:ascii="Calibri" w:cs="Calibri" w:eastAsia="Calibri" w:hAnsi="Calibri"/>
          <w:color w:val="1A1A1A"/>
          <w:sz w:val="22"/>
          <w:szCs w:val="22"/>
        </w:rPr>
        <w:t xml:space="preserve">. create, review, edit, archive, with a safety net (soft-delete) so an accidental removal is reversible.</w:t>
      </w:r>
    </w:p>
    <w:p>
      <w:pPr>
        <w:pStyle w:val="ListParagraph"/>
        <w:numPr>
          <w:ilvl w:val="0"/>
          <w:numId w:val="2"/>
        </w:numPr>
        <w:spacing w:after="100" w:line="300"/>
      </w:pPr>
      <w:r>
        <w:rPr>
          <w:rFonts w:ascii="Calibri" w:cs="Calibri" w:eastAsia="Calibri" w:hAnsi="Calibri"/>
          <w:b/>
          <w:bCs/>
          <w:color w:val="1A1A1A"/>
          <w:sz w:val="22"/>
          <w:szCs w:val="22"/>
        </w:rPr>
        <w:t xml:space="preserve">Security Score: </w:t>
      </w:r>
      <w:r>
        <w:rPr>
          <w:rFonts w:ascii="Calibri" w:cs="Calibri" w:eastAsia="Calibri" w:hAnsi="Calibri"/>
          <w:color w:val="1A1A1A"/>
          <w:sz w:val="22"/>
          <w:szCs w:val="22"/>
        </w:rPr>
        <w:t xml:space="preserve">. each client gets a 0–100 score and a risk tier (Safe · Low Risk · At Risk · Critical) derived from how complete and well-managed their record is. Visual, immediate, defensible.</w:t>
      </w:r>
    </w:p>
    <w:p>
      <w:pPr>
        <w:pStyle w:val="ListParagraph"/>
        <w:numPr>
          <w:ilvl w:val="0"/>
          <w:numId w:val="2"/>
        </w:numPr>
        <w:spacing w:after="100" w:line="300"/>
      </w:pPr>
      <w:r>
        <w:rPr>
          <w:rFonts w:ascii="Calibri" w:cs="Calibri" w:eastAsia="Calibri" w:hAnsi="Calibri"/>
          <w:b/>
          <w:bCs/>
          <w:color w:val="1A1A1A"/>
          <w:sz w:val="22"/>
          <w:szCs w:val="22"/>
        </w:rPr>
        <w:t xml:space="preserve">Ownership: </w:t>
      </w:r>
      <w:r>
        <w:rPr>
          <w:rFonts w:ascii="Calibri" w:cs="Calibri" w:eastAsia="Calibri" w:hAnsi="Calibri"/>
          <w:color w:val="1A1A1A"/>
          <w:sz w:val="22"/>
          <w:szCs w:val="22"/>
        </w:rPr>
        <w:t xml:space="preserve">. every client is assigned to an account owner so accountability is clear.</w:t>
      </w:r>
    </w:p>
    <w:p>
      <w:pPr>
        <w:spacing w:after="60" w:before="240"/>
      </w:pPr>
      <w:r>
        <w:rPr>
          <w:rFonts w:ascii="Calibri" w:cs="Calibri" w:eastAsia="Calibri" w:hAnsi="Calibri"/>
          <w:b/>
          <w:bCs/>
          <w:color w:val="0B5FFF"/>
          <w:sz w:val="26"/>
          <w:szCs w:val="26"/>
        </w:rPr>
        <w:t xml:space="preserve">2 — Contacts</w:t>
      </w:r>
    </w:p>
    <w:p>
      <w:pPr>
        <w:spacing w:after="100"/>
      </w:pPr>
      <w:r>
        <w:rPr>
          <w:rFonts w:ascii="Calibri" w:cs="Calibri" w:eastAsia="Calibri" w:hAnsi="Calibri"/>
          <w:i/>
          <w:iCs/>
          <w:color w:val="4A4A4A"/>
          <w:sz w:val="22"/>
          <w:szCs w:val="22"/>
        </w:rPr>
        <w:t xml:space="preserve">The people inside each client organisation — with privacy baked in.</w:t>
      </w:r>
    </w:p>
    <w:p>
      <w:pPr>
        <w:pStyle w:val="ListParagraph"/>
        <w:numPr>
          <w:ilvl w:val="0"/>
          <w:numId w:val="2"/>
        </w:numPr>
        <w:spacing w:after="100" w:line="300"/>
      </w:pPr>
      <w:r>
        <w:rPr>
          <w:rFonts w:ascii="Calibri" w:cs="Calibri" w:eastAsia="Calibri" w:hAnsi="Calibri"/>
          <w:b/>
          <w:bCs/>
          <w:color w:val="1A1A1A"/>
          <w:sz w:val="22"/>
          <w:szCs w:val="22"/>
        </w:rPr>
        <w:t xml:space="preserve">Full lifecycle, scoped by client. </w:t>
      </w:r>
      <w:r>
        <w:rPr>
          <w:rFonts w:ascii="Calibri" w:cs="Calibri" w:eastAsia="Calibri" w:hAnsi="Calibri"/>
          <w:color w:val="1A1A1A"/>
          <w:sz w:val="22"/>
          <w:szCs w:val="22"/>
        </w:rPr>
        <w:t xml:space="preserve">. A primary contact is enforced per client at the database level (not a UI convention).</w:t>
      </w:r>
    </w:p>
    <w:p>
      <w:pPr>
        <w:pStyle w:val="ListParagraph"/>
        <w:numPr>
          <w:ilvl w:val="0"/>
          <w:numId w:val="2"/>
        </w:numPr>
        <w:spacing w:after="100" w:line="300"/>
      </w:pPr>
      <w:r>
        <w:rPr>
          <w:rFonts w:ascii="Calibri" w:cs="Calibri" w:eastAsia="Calibri" w:hAnsi="Calibri"/>
          <w:b/>
          <w:bCs/>
          <w:color w:val="1A1A1A"/>
          <w:sz w:val="22"/>
          <w:szCs w:val="22"/>
        </w:rPr>
        <w:t xml:space="preserve">PII masking: </w:t>
      </w:r>
      <w:r>
        <w:rPr>
          <w:rFonts w:ascii="Calibri" w:cs="Calibri" w:eastAsia="Calibri" w:hAnsi="Calibri"/>
          <w:color w:val="1A1A1A"/>
          <w:sz w:val="22"/>
          <w:szCs w:val="22"/>
        </w:rPr>
        <w:t xml:space="preserve">. client portal users see email and phone numbers as "j******e@a********.com" and "*******5309". The raw values never leave the server. Super admins still see the real data.</w:t>
      </w:r>
    </w:p>
    <w:p>
      <w:pPr>
        <w:pStyle w:val="ListParagraph"/>
        <w:numPr>
          <w:ilvl w:val="0"/>
          <w:numId w:val="2"/>
        </w:numPr>
        <w:spacing w:after="100" w:line="300"/>
      </w:pPr>
      <w:r>
        <w:rPr>
          <w:rFonts w:ascii="Calibri" w:cs="Calibri" w:eastAsia="Calibri" w:hAnsi="Calibri"/>
          <w:b/>
          <w:bCs/>
          <w:color w:val="1A1A1A"/>
          <w:sz w:val="22"/>
          <w:szCs w:val="22"/>
        </w:rPr>
        <w:t xml:space="preserve">Click-to-reveal: </w:t>
      </w:r>
      <w:r>
        <w:rPr>
          <w:rFonts w:ascii="Calibri" w:cs="Calibri" w:eastAsia="Calibri" w:hAnsi="Calibri"/>
          <w:color w:val="1A1A1A"/>
          <w:sz w:val="22"/>
          <w:szCs w:val="22"/>
        </w:rPr>
        <w:t xml:space="preserve">. where a viewer is permitted to see the raw value, a one-tap control toggles between masked and visible display. Operations teams get the data they need, with intent captured by the action.</w:t>
      </w:r>
    </w:p>
    <w:p>
      <w:pPr>
        <w:spacing w:after="60" w:before="240"/>
      </w:pPr>
      <w:r>
        <w:rPr>
          <w:rFonts w:ascii="Calibri" w:cs="Calibri" w:eastAsia="Calibri" w:hAnsi="Calibri"/>
          <w:b/>
          <w:bCs/>
          <w:color w:val="0B5FFF"/>
          <w:sz w:val="26"/>
          <w:szCs w:val="26"/>
        </w:rPr>
        <w:t xml:space="preserve">3 — Incidents</w:t>
      </w:r>
    </w:p>
    <w:p>
      <w:pPr>
        <w:spacing w:after="100"/>
      </w:pPr>
      <w:r>
        <w:rPr>
          <w:rFonts w:ascii="Calibri" w:cs="Calibri" w:eastAsia="Calibri" w:hAnsi="Calibri"/>
          <w:i/>
          <w:iCs/>
          <w:color w:val="4A4A4A"/>
          <w:sz w:val="22"/>
          <w:szCs w:val="22"/>
        </w:rPr>
        <w:t xml:space="preserve">Workflow-driven incident tracking, SLA-aware and audit-ready.</w:t>
      </w:r>
    </w:p>
    <w:p>
      <w:pPr>
        <w:pStyle w:val="ListParagraph"/>
        <w:numPr>
          <w:ilvl w:val="0"/>
          <w:numId w:val="2"/>
        </w:numPr>
        <w:spacing w:after="100" w:line="300"/>
      </w:pPr>
      <w:r>
        <w:rPr>
          <w:rFonts w:ascii="Calibri" w:cs="Calibri" w:eastAsia="Calibri" w:hAnsi="Calibri"/>
          <w:b/>
          <w:bCs/>
          <w:color w:val="1A1A1A"/>
          <w:sz w:val="22"/>
          <w:szCs w:val="22"/>
        </w:rPr>
        <w:t xml:space="preserve">Four-stage workflow: </w:t>
      </w:r>
      <w:r>
        <w:rPr>
          <w:rFonts w:ascii="Calibri" w:cs="Calibri" w:eastAsia="Calibri" w:hAnsi="Calibri"/>
          <w:color w:val="1A1A1A"/>
          <w:sz w:val="22"/>
          <w:szCs w:val="22"/>
        </w:rPr>
        <w:t xml:space="preserve">. New → Investigating → Resolved → Closed. A resolved incident can be re-opened if a regression surfaces. Any other transition is blocked by the system — not by convention.</w:t>
      </w:r>
    </w:p>
    <w:p>
      <w:pPr>
        <w:pStyle w:val="ListParagraph"/>
        <w:numPr>
          <w:ilvl w:val="0"/>
          <w:numId w:val="2"/>
        </w:numPr>
        <w:spacing w:after="100" w:line="300"/>
      </w:pPr>
      <w:r>
        <w:rPr>
          <w:rFonts w:ascii="Calibri" w:cs="Calibri" w:eastAsia="Calibri" w:hAnsi="Calibri"/>
          <w:b/>
          <w:bCs/>
          <w:color w:val="1A1A1A"/>
          <w:sz w:val="22"/>
          <w:szCs w:val="22"/>
        </w:rPr>
        <w:t xml:space="preserve">Severity-based SLAs: </w:t>
      </w:r>
      <w:r>
        <w:rPr>
          <w:rFonts w:ascii="Calibri" w:cs="Calibri" w:eastAsia="Calibri" w:hAnsi="Calibri"/>
          <w:color w:val="1A1A1A"/>
          <w:sz w:val="22"/>
          <w:szCs w:val="22"/>
        </w:rPr>
        <w:t xml:space="preserve">. Critical = 1 hour to acknowledge · High = 4 hours · Medium = 24 hours · Low = 72 hours. The dashboard flags any un-acknowledged incident past its SLA automatically.</w:t>
      </w:r>
    </w:p>
    <w:p>
      <w:pPr>
        <w:pStyle w:val="ListParagraph"/>
        <w:numPr>
          <w:ilvl w:val="0"/>
          <w:numId w:val="2"/>
        </w:numPr>
        <w:spacing w:after="100" w:line="300"/>
      </w:pPr>
      <w:r>
        <w:rPr>
          <w:rFonts w:ascii="Calibri" w:cs="Calibri" w:eastAsia="Calibri" w:hAnsi="Calibri"/>
          <w:b/>
          <w:bCs/>
          <w:color w:val="1A1A1A"/>
          <w:sz w:val="22"/>
          <w:szCs w:val="22"/>
        </w:rPr>
        <w:t xml:space="preserve">Assignment and audit: </w:t>
      </w:r>
      <w:r>
        <w:rPr>
          <w:rFonts w:ascii="Calibri" w:cs="Calibri" w:eastAsia="Calibri" w:hAnsi="Calibri"/>
          <w:color w:val="1A1A1A"/>
          <w:sz w:val="22"/>
          <w:szCs w:val="22"/>
        </w:rPr>
        <w:t xml:space="preserve">. incidents can be reassigned at any point, and every single change is written to an audit log with who did it, when, and the before/after values.</w:t>
      </w:r>
    </w:p>
    <w:p>
      <w:pPr>
        <w:pStyle w:val="ListParagraph"/>
        <w:numPr>
          <w:ilvl w:val="0"/>
          <w:numId w:val="2"/>
        </w:numPr>
        <w:spacing w:after="100" w:line="300"/>
      </w:pPr>
      <w:r>
        <w:rPr>
          <w:rFonts w:ascii="Calibri" w:cs="Calibri" w:eastAsia="Calibri" w:hAnsi="Calibri"/>
          <w:b/>
          <w:bCs/>
          <w:color w:val="1A1A1A"/>
          <w:sz w:val="22"/>
          <w:szCs w:val="22"/>
        </w:rPr>
        <w:t xml:space="preserve">Portal self-service: </w:t>
      </w:r>
      <w:r>
        <w:rPr>
          <w:rFonts w:ascii="Calibri" w:cs="Calibri" w:eastAsia="Calibri" w:hAnsi="Calibri"/>
          <w:color w:val="1A1A1A"/>
          <w:sz w:val="22"/>
          <w:szCs w:val="22"/>
        </w:rPr>
        <w:t xml:space="preserve">. client-portal users can file an incident themselves. The system automatically scopes it to their organisation — even if a tampered request tries to attribute it elsewhere, the system refuses.</w:t>
      </w:r>
    </w:p>
    <w:p>
      <w:pPr>
        <w:spacing w:after="60" w:before="240"/>
      </w:pPr>
      <w:r>
        <w:rPr>
          <w:rFonts w:ascii="Calibri" w:cs="Calibri" w:eastAsia="Calibri" w:hAnsi="Calibri"/>
          <w:b/>
          <w:bCs/>
          <w:color w:val="0B5FFF"/>
          <w:sz w:val="26"/>
          <w:szCs w:val="26"/>
        </w:rPr>
        <w:t xml:space="preserve">4 — Super Admin Dashboard</w:t>
      </w:r>
    </w:p>
    <w:p>
      <w:pPr>
        <w:spacing w:after="100"/>
      </w:pPr>
      <w:r>
        <w:rPr>
          <w:rFonts w:ascii="Calibri" w:cs="Calibri" w:eastAsia="Calibri" w:hAnsi="Calibri"/>
          <w:i/>
          <w:iCs/>
          <w:color w:val="4A4A4A"/>
          <w:sz w:val="22"/>
          <w:szCs w:val="22"/>
        </w:rPr>
        <w:t xml:space="preserve">The command centre for your delivery team.</w:t>
      </w:r>
    </w:p>
    <w:p>
      <w:pPr>
        <w:pStyle w:val="ListParagraph"/>
        <w:numPr>
          <w:ilvl w:val="0"/>
          <w:numId w:val="2"/>
        </w:numPr>
        <w:spacing w:after="100" w:line="300"/>
      </w:pPr>
      <w:r>
        <w:rPr>
          <w:rFonts w:ascii="Calibri" w:cs="Calibri" w:eastAsia="Calibri" w:hAnsi="Calibri"/>
          <w:b/>
          <w:bCs/>
          <w:color w:val="1A1A1A"/>
          <w:sz w:val="22"/>
          <w:szCs w:val="22"/>
        </w:rPr>
        <w:t xml:space="preserve">KPI cards: </w:t>
      </w:r>
      <w:r>
        <w:rPr>
          <w:rFonts w:ascii="Calibri" w:cs="Calibri" w:eastAsia="Calibri" w:hAnsi="Calibri"/>
          <w:color w:val="1A1A1A"/>
          <w:sz w:val="22"/>
          <w:szCs w:val="22"/>
        </w:rPr>
        <w:t xml:space="preserve">. client counts, active incidents by severity, SLA posture — at a glance.</w:t>
      </w:r>
    </w:p>
    <w:p>
      <w:pPr>
        <w:pStyle w:val="ListParagraph"/>
        <w:numPr>
          <w:ilvl w:val="0"/>
          <w:numId w:val="2"/>
        </w:numPr>
        <w:spacing w:after="100" w:line="300"/>
      </w:pPr>
      <w:r>
        <w:rPr>
          <w:rFonts w:ascii="Calibri" w:cs="Calibri" w:eastAsia="Calibri" w:hAnsi="Calibri"/>
          <w:b/>
          <w:bCs/>
          <w:color w:val="1A1A1A"/>
          <w:sz w:val="22"/>
          <w:szCs w:val="22"/>
        </w:rPr>
        <w:t xml:space="preserve">Searchable module views: </w:t>
      </w:r>
      <w:r>
        <w:rPr>
          <w:rFonts w:ascii="Calibri" w:cs="Calibri" w:eastAsia="Calibri" w:hAnsi="Calibri"/>
          <w:color w:val="1A1A1A"/>
          <w:sz w:val="22"/>
          <w:szCs w:val="22"/>
        </w:rPr>
        <w:t xml:space="preserve">. every list page supports search and filtering with server-side pagination (no slow page loads as data grows).</w:t>
      </w:r>
    </w:p>
    <w:p>
      <w:pPr>
        <w:pStyle w:val="ListParagraph"/>
        <w:numPr>
          <w:ilvl w:val="0"/>
          <w:numId w:val="2"/>
        </w:numPr>
        <w:spacing w:after="100" w:line="300"/>
      </w:pPr>
      <w:r>
        <w:rPr>
          <w:rFonts w:ascii="Calibri" w:cs="Calibri" w:eastAsia="Calibri" w:hAnsi="Calibri"/>
          <w:b/>
          <w:bCs/>
          <w:color w:val="1A1A1A"/>
          <w:sz w:val="22"/>
          <w:szCs w:val="22"/>
        </w:rPr>
        <w:t xml:space="preserve">Breadcrumb navigation: </w:t>
      </w:r>
      <w:r>
        <w:rPr>
          <w:rFonts w:ascii="Calibri" w:cs="Calibri" w:eastAsia="Calibri" w:hAnsi="Calibri"/>
          <w:color w:val="1A1A1A"/>
          <w:sz w:val="22"/>
          <w:szCs w:val="22"/>
        </w:rPr>
        <w:t xml:space="preserve">. always-visible path so administrators never lose context.</w:t>
      </w:r>
    </w:p>
    <w:p>
      <w:pPr>
        <w:spacing w:after="60" w:before="240"/>
      </w:pPr>
      <w:r>
        <w:rPr>
          <w:rFonts w:ascii="Calibri" w:cs="Calibri" w:eastAsia="Calibri" w:hAnsi="Calibri"/>
          <w:b/>
          <w:bCs/>
          <w:color w:val="0B5FFF"/>
          <w:sz w:val="26"/>
          <w:szCs w:val="26"/>
        </w:rPr>
        <w:t xml:space="preserve">5 — Security Operations Centre</w:t>
      </w:r>
    </w:p>
    <w:p>
      <w:pPr>
        <w:spacing w:after="100"/>
      </w:pPr>
      <w:r>
        <w:rPr>
          <w:rFonts w:ascii="Calibri" w:cs="Calibri" w:eastAsia="Calibri" w:hAnsi="Calibri"/>
          <w:i/>
          <w:iCs/>
          <w:color w:val="4A4A4A"/>
          <w:sz w:val="22"/>
          <w:szCs w:val="22"/>
        </w:rPr>
        <w:t xml:space="preserve">A dedicated space for the controls auditors ask about.</w:t>
      </w:r>
    </w:p>
    <w:p>
      <w:pPr>
        <w:pStyle w:val="ListParagraph"/>
        <w:numPr>
          <w:ilvl w:val="0"/>
          <w:numId w:val="2"/>
        </w:numPr>
        <w:spacing w:after="100" w:line="300"/>
      </w:pPr>
      <w:r>
        <w:rPr>
          <w:rFonts w:ascii="Calibri" w:cs="Calibri" w:eastAsia="Calibri" w:hAnsi="Calibri"/>
          <w:b/>
          <w:bCs/>
          <w:color w:val="1A1A1A"/>
          <w:sz w:val="22"/>
          <w:szCs w:val="22"/>
        </w:rPr>
        <w:t xml:space="preserve">Active Sessions: </w:t>
      </w:r>
      <w:r>
        <w:rPr>
          <w:rFonts w:ascii="Calibri" w:cs="Calibri" w:eastAsia="Calibri" w:hAnsi="Calibri"/>
          <w:color w:val="1A1A1A"/>
          <w:sz w:val="22"/>
          <w:szCs w:val="22"/>
        </w:rPr>
        <w:t xml:space="preserve">. see every signed-in user across every device, with IP address, browser, operating system and last-active time. One click to revoke any session — the targeted device is signed out on its next request.</w:t>
      </w:r>
    </w:p>
    <w:p>
      <w:pPr>
        <w:pStyle w:val="ListParagraph"/>
        <w:numPr>
          <w:ilvl w:val="0"/>
          <w:numId w:val="2"/>
        </w:numPr>
        <w:spacing w:after="100" w:line="300"/>
      </w:pPr>
      <w:r>
        <w:rPr>
          <w:rFonts w:ascii="Calibri" w:cs="Calibri" w:eastAsia="Calibri" w:hAnsi="Calibri"/>
          <w:b/>
          <w:bCs/>
          <w:color w:val="1A1A1A"/>
          <w:sz w:val="22"/>
          <w:szCs w:val="22"/>
        </w:rPr>
        <w:t xml:space="preserve">Audit Log Viewer: </w:t>
      </w:r>
      <w:r>
        <w:rPr>
          <w:rFonts w:ascii="Calibri" w:cs="Calibri" w:eastAsia="Calibri" w:hAnsi="Calibri"/>
          <w:color w:val="1A1A1A"/>
          <w:sz w:val="22"/>
          <w:szCs w:val="22"/>
        </w:rPr>
        <w:t xml:space="preserve">. every create, update and delete across the application, filterable by user, type, event and date range. Click any row to see the full before/after values as structured data. Nothing is lost; nothing is editable.</w:t>
      </w:r>
    </w:p>
    <w:p>
      <w:r>
        <w:br w:type="page"/>
      </w:r>
    </w:p>
    <w:p>
      <w:pPr>
        <w:pStyle w:val="Heading1"/>
        <w:spacing w:after="200" w:before="400"/>
      </w:pPr>
      <w:r>
        <w:rPr>
          <w:rFonts w:ascii="Calibri" w:cs="Calibri" w:eastAsia="Calibri" w:hAnsi="Calibri"/>
          <w:b/>
          <w:bCs/>
          <w:color w:val="0B5FFF"/>
          <w:sz w:val="40"/>
          <w:szCs w:val="40"/>
        </w:rPr>
        <w:t xml:space="preserve">Security Controls — Threat Model and Mitigations</w:t>
      </w:r>
    </w:p>
    <w:p>
      <w:pPr>
        <w:pBdr>
          <w:bottom w:val="single" w:color="D6DCE5" w:sz="6" w:space="1"/>
        </w:pBdr>
        <w:spacing w:after="240" w:before="100"/>
      </w:pPr>
      <w:r>
        <w:t xml:space="preserve"/>
      </w:r>
    </w:p>
    <w:p>
      <w:pPr>
        <w:spacing w:after="120" w:line="300"/>
      </w:pPr>
      <w:r>
        <w:rPr>
          <w:rFonts w:ascii="Calibri" w:cs="Calibri" w:eastAsia="Calibri" w:hAnsi="Calibri"/>
          <w:color w:val="1A1A1A"/>
          <w:sz w:val="22"/>
          <w:szCs w:val="22"/>
        </w:rPr>
        <w:t xml:space="preserve">For each threat that applies to CRM-class applications, the demonstration repository ships a concrete, tested mitigation. The table below is written for a non-engineer reviewer; each entry is also verifiable in code.</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000"/>
      </w:tblGrid>
      <w:tr>
        <w:trPr>
          <w:tblHeader/>
        </w:trPr>
        <w:tc>
          <w:tcPr>
            <w:tcW w:type="dxa" w:w="1800"/>
            <w:tcBorders>
              <w:top w:val="single" w:color="D6DCE5" w:sz="4"/>
              <w:left w:val="single" w:color="D6DCE5" w:sz="4"/>
              <w:bottom w:val="single" w:color="D6DCE5" w:sz="4"/>
              <w:right w:val="single" w:color="D6DCE5" w:sz="4"/>
            </w:tcBorders>
            <w:shd w:fill="0B5FFF" w:color="auto" w:val="clear"/>
            <w:tcMar>
              <w:top w:type="dxa" w:w="140"/>
              <w:left w:type="dxa" w:w="160"/>
              <w:bottom w:type="dxa" w:w="140"/>
              <w:right w:type="dxa" w:w="160"/>
            </w:tcMar>
            <w:vAlign w:val="center"/>
          </w:tcPr>
          <w:p>
            <w:pPr>
              <w:spacing w:after="0" w:line="280"/>
              <w:jc w:val="left"/>
            </w:pPr>
            <w:r>
              <w:rPr>
                <w:rFonts w:ascii="Calibri" w:cs="Calibri" w:eastAsia="Calibri" w:hAnsi="Calibri"/>
                <w:b/>
                <w:bCs/>
                <w:color w:val="FFFFFF"/>
                <w:sz w:val="20"/>
                <w:szCs w:val="20"/>
              </w:rPr>
              <w:t xml:space="preserve">Threat</w:t>
            </w:r>
          </w:p>
        </w:tc>
        <w:tc>
          <w:tcPr>
            <w:tcW w:type="dxa" w:w="3600"/>
            <w:tcBorders>
              <w:top w:val="single" w:color="D6DCE5" w:sz="4"/>
              <w:left w:val="single" w:color="D6DCE5" w:sz="4"/>
              <w:bottom w:val="single" w:color="D6DCE5" w:sz="4"/>
              <w:right w:val="single" w:color="D6DCE5" w:sz="4"/>
            </w:tcBorders>
            <w:shd w:fill="0B5FFF" w:color="auto" w:val="clear"/>
            <w:tcMar>
              <w:top w:type="dxa" w:w="140"/>
              <w:left w:type="dxa" w:w="160"/>
              <w:bottom w:type="dxa" w:w="140"/>
              <w:right w:type="dxa" w:w="160"/>
            </w:tcMar>
            <w:vAlign w:val="center"/>
          </w:tcPr>
          <w:p>
            <w:pPr>
              <w:spacing w:after="0" w:line="280"/>
              <w:jc w:val="left"/>
            </w:pPr>
            <w:r>
              <w:rPr>
                <w:rFonts w:ascii="Calibri" w:cs="Calibri" w:eastAsia="Calibri" w:hAnsi="Calibri"/>
                <w:b/>
                <w:bCs/>
                <w:color w:val="FFFFFF"/>
                <w:sz w:val="20"/>
                <w:szCs w:val="20"/>
              </w:rPr>
              <w:t xml:space="preserve">What it means</w:t>
            </w:r>
          </w:p>
        </w:tc>
        <w:tc>
          <w:tcPr>
            <w:tcW w:type="dxa" w:w="4000"/>
            <w:tcBorders>
              <w:top w:val="single" w:color="D6DCE5" w:sz="4"/>
              <w:left w:val="single" w:color="D6DCE5" w:sz="4"/>
              <w:bottom w:val="single" w:color="D6DCE5" w:sz="4"/>
              <w:right w:val="single" w:color="D6DCE5" w:sz="4"/>
            </w:tcBorders>
            <w:shd w:fill="0B5FFF" w:color="auto" w:val="clear"/>
            <w:tcMar>
              <w:top w:type="dxa" w:w="140"/>
              <w:left w:type="dxa" w:w="160"/>
              <w:bottom w:type="dxa" w:w="140"/>
              <w:right w:type="dxa" w:w="160"/>
            </w:tcMar>
            <w:vAlign w:val="center"/>
          </w:tcPr>
          <w:p>
            <w:pPr>
              <w:spacing w:after="0" w:line="280"/>
              <w:jc w:val="left"/>
            </w:pPr>
            <w:r>
              <w:rPr>
                <w:rFonts w:ascii="Calibri" w:cs="Calibri" w:eastAsia="Calibri" w:hAnsi="Calibri"/>
                <w:b/>
                <w:bCs/>
                <w:color w:val="FFFFFF"/>
                <w:sz w:val="20"/>
                <w:szCs w:val="20"/>
              </w:rPr>
              <w:t xml:space="preserve">How we mitigate it</w:t>
            </w:r>
          </w:p>
        </w:tc>
      </w:tr>
      <w:tr>
        <w:tc>
          <w:tcPr>
            <w:tcW w:type="dxa" w:w="18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Credential stuffing</w:t>
            </w:r>
          </w:p>
        </w:tc>
        <w:tc>
          <w:tcPr>
            <w:tcW w:type="dxa" w:w="36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Attackers try millions of leaked passwords against your login page.</w:t>
            </w:r>
          </w:p>
        </w:tc>
        <w:tc>
          <w:tcPr>
            <w:tcW w:type="dxa" w:w="40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Account lockout after five failed attempts; mandatory strong passwords (12+ characters, mixed types); optional two-factor authentication.</w:t>
            </w:r>
          </w:p>
        </w:tc>
      </w:tr>
      <w:tr>
        <w:tc>
          <w:tcPr>
            <w:tcW w:type="dxa" w:w="18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Password rot</w:t>
            </w:r>
          </w:p>
        </w:tc>
        <w:tc>
          <w:tcPr>
            <w:tcW w:type="dxa" w:w="36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Users keep the same password for years, raising long-term risk.</w:t>
            </w:r>
          </w:p>
        </w:tc>
        <w:tc>
          <w:tcPr>
            <w:tcW w:type="dxa" w:w="40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Passwords expire every 90 days; the system softly redirects users to change their password without disruption.</w:t>
            </w:r>
          </w:p>
        </w:tc>
      </w:tr>
      <w:tr>
        <w:tc>
          <w:tcPr>
            <w:tcW w:type="dxa" w:w="18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Session hijacking</w:t>
            </w:r>
          </w:p>
        </w:tc>
        <w:tc>
          <w:tcPr>
            <w:tcW w:type="dxa" w:w="36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A stolen session cookie lets an attacker impersonate a user.</w:t>
            </w:r>
          </w:p>
        </w:tc>
        <w:tc>
          <w:tcPr>
            <w:tcW w:type="dxa" w:w="40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Strict transport security headers; one-click session revocation from the Security Operations Centre; the admin's own session is excluded so revocations never lock out the operator.</w:t>
            </w:r>
          </w:p>
        </w:tc>
      </w:tr>
      <w:tr>
        <w:tc>
          <w:tcPr>
            <w:tcW w:type="dxa" w:w="18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Cross-site scripting</w:t>
            </w:r>
          </w:p>
        </w:tc>
        <w:tc>
          <w:tcPr>
            <w:tcW w:type="dxa" w:w="36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Malicious scripts injected into a page can steal data from users.</w:t>
            </w:r>
          </w:p>
        </w:tc>
        <w:tc>
          <w:tcPr>
            <w:tcW w:type="dxa" w:w="40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Content Security Policy headers restrict what the browser will execute, globally.</w:t>
            </w:r>
          </w:p>
        </w:tc>
      </w:tr>
      <w:tr>
        <w:tc>
          <w:tcPr>
            <w:tcW w:type="dxa" w:w="18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Data leakage between clients</w:t>
            </w:r>
          </w:p>
        </w:tc>
        <w:tc>
          <w:tcPr>
            <w:tcW w:type="dxa" w:w="36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One client of yours sees another client's records.</w:t>
            </w:r>
          </w:p>
        </w:tc>
        <w:tc>
          <w:tcPr>
            <w:tcW w:type="dxa" w:w="40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Database-level isolation using a global query filter: every data lookup is automatically scoped to the signed-in user's organisation. A second check at the authorisation layer catches any attempt to bypass the filter.</w:t>
            </w:r>
          </w:p>
        </w:tc>
      </w:tr>
      <w:tr>
        <w:tc>
          <w:tcPr>
            <w:tcW w:type="dxa" w:w="18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PII exposure</w:t>
            </w:r>
          </w:p>
        </w:tc>
        <w:tc>
          <w:tcPr>
            <w:tcW w:type="dxa" w:w="36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Portal users see email addresses or phone numbers they should not.</w:t>
            </w:r>
          </w:p>
        </w:tc>
        <w:tc>
          <w:tcPr>
            <w:tcW w:type="dxa" w:w="40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Sensitive fields are masked on the server before leaving the backend. The raw values never travel over the network for a client-role viewer.</w:t>
            </w:r>
          </w:p>
        </w:tc>
      </w:tr>
      <w:tr>
        <w:tc>
          <w:tcPr>
            <w:tcW w:type="dxa" w:w="18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Forged form submissions</w:t>
            </w:r>
          </w:p>
        </w:tc>
        <w:tc>
          <w:tcPr>
            <w:tcW w:type="dxa" w:w="36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A client-portal user tampers with a form to attack another tenant.</w:t>
            </w:r>
          </w:p>
        </w:tc>
        <w:tc>
          <w:tcPr>
            <w:tcW w:type="dxa" w:w="40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The server derives the tenant identifier from the signed-in user, not from the submitted form. Tampered values are silently ignored, verified by an automated test.</w:t>
            </w:r>
          </w:p>
        </w:tc>
      </w:tr>
      <w:tr>
        <w:tc>
          <w:tcPr>
            <w:tcW w:type="dxa" w:w="18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Suspicious logins</w:t>
            </w:r>
          </w:p>
        </w:tc>
        <w:tc>
          <w:tcPr>
            <w:tcW w:type="dxa" w:w="36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An attacker signs in from a new country without the real user noticing.</w:t>
            </w:r>
          </w:p>
        </w:tc>
        <w:tc>
          <w:tcPr>
            <w:tcW w:type="dxa" w:w="40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The system records every login's IP address; if a login arrives from an unseen location, the user receives an email alert.</w:t>
            </w:r>
          </w:p>
        </w:tc>
      </w:tr>
      <w:tr>
        <w:tc>
          <w:tcPr>
            <w:tcW w:type="dxa" w:w="18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Illegal state changes</w:t>
            </w:r>
          </w:p>
        </w:tc>
        <w:tc>
          <w:tcPr>
            <w:tcW w:type="dxa" w:w="36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A user forces an incident from "Closed" back to "New" to hide activity.</w:t>
            </w:r>
          </w:p>
        </w:tc>
        <w:tc>
          <w:tcPr>
            <w:tcW w:type="dxa" w:w="40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A dedicated workflow service enforces the state machine. Illegal transitions are refused by the server, not merely hidden in the user interface.</w:t>
            </w:r>
          </w:p>
        </w:tc>
      </w:tr>
      <w:tr>
        <w:tc>
          <w:tcPr>
            <w:tcW w:type="dxa" w:w="18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Audit gap</w:t>
            </w:r>
          </w:p>
        </w:tc>
        <w:tc>
          <w:tcPr>
            <w:tcW w:type="dxa" w:w="36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A change is made, and no one can prove who, when, or what.</w:t>
            </w:r>
          </w:p>
        </w:tc>
        <w:tc>
          <w:tcPr>
            <w:tcW w:type="dxa" w:w="40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Every create, update and delete on business data is written to an audit log with user, timestamp and property-level before/after values.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5FFF" w:sz="24"/>
              <w:left w:val="single" w:color="0B5FFF" w:sz="24"/>
              <w:bottom w:val="single" w:color="0B5FFF" w:sz="4"/>
              <w:right w:val="single" w:color="0B5FFF" w:sz="4"/>
            </w:tcBorders>
            <w:shd w:fill="F3F6FB" w:color="auto" w:val="clear"/>
            <w:tcMar>
              <w:top w:type="dxa" w:w="220"/>
              <w:left w:type="dxa" w:w="260"/>
              <w:bottom w:type="dxa" w:w="220"/>
              <w:right w:type="dxa" w:w="260"/>
            </w:tcMar>
          </w:tcPr>
          <w:p>
            <w:pPr>
              <w:spacing w:after="100"/>
            </w:pPr>
            <w:r>
              <w:rPr>
                <w:rFonts w:ascii="Calibri" w:cs="Calibri" w:eastAsia="Calibri" w:hAnsi="Calibri"/>
                <w:b/>
                <w:bCs/>
                <w:color w:val="0B5FFF"/>
                <w:sz w:val="22"/>
                <w:szCs w:val="22"/>
              </w:rPr>
              <w:t xml:space="preserve">Defence in depth, by design</w:t>
            </w:r>
          </w:p>
          <w:p>
            <w:pPr>
              <w:spacing w:after="0" w:line="300"/>
            </w:pPr>
            <w:r>
              <w:rPr>
                <w:rFonts w:ascii="Calibri" w:cs="Calibri" w:eastAsia="Calibri" w:hAnsi="Calibri"/>
                <w:color w:val="1A1A1A"/>
                <w:sz w:val="22"/>
                <w:szCs w:val="22"/>
              </w:rPr>
              <w:t xml:space="preserve">Several of the mitigations above are duplicated at two independent layers — database query filter + authorisation policy, server-side masking + resource-level permission. If a developer accidentally removes one, the other still holds. Automated tests confirm the behaviour under both the normal and the "second-layer-only" condition.</w:t>
            </w:r>
          </w:p>
        </w:tc>
      </w:tr>
    </w:tbl>
    <w:p>
      <w:r>
        <w:br w:type="page"/>
      </w:r>
    </w:p>
    <w:p>
      <w:pPr>
        <w:pStyle w:val="Heading1"/>
        <w:spacing w:after="200" w:before="400"/>
      </w:pPr>
      <w:r>
        <w:rPr>
          <w:rFonts w:ascii="Calibri" w:cs="Calibri" w:eastAsia="Calibri" w:hAnsi="Calibri"/>
          <w:b/>
          <w:bCs/>
          <w:color w:val="0B5FFF"/>
          <w:sz w:val="40"/>
          <w:szCs w:val="40"/>
        </w:rPr>
        <w:t xml:space="preserve">Quality Assurance</w:t>
      </w:r>
    </w:p>
    <w:p>
      <w:pPr>
        <w:pBdr>
          <w:bottom w:val="single" w:color="D6DCE5" w:sz="6" w:space="1"/>
        </w:pBdr>
        <w:spacing w:after="240" w:before="100"/>
      </w:pPr>
      <w:r>
        <w:t xml:space="preserve"/>
      </w:r>
    </w:p>
    <w:p>
      <w:pPr>
        <w:spacing w:after="120" w:line="300"/>
      </w:pPr>
      <w:r>
        <w:rPr>
          <w:rFonts w:ascii="Calibri" w:cs="Calibri" w:eastAsia="Calibri" w:hAnsi="Calibri"/>
          <w:color w:val="1A1A1A"/>
          <w:sz w:val="22"/>
          <w:szCs w:val="22"/>
        </w:rPr>
        <w:t xml:space="preserve">A production application is only as good as the guardrails that prevent it from degrading over time. The demonstration repository ships with four independent quality gates, each of which must pass before any change can be released.</w:t>
      </w:r>
    </w:p>
    <w:p>
      <w:pPr>
        <w:spacing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200"/>
      </w:tblGrid>
      <w:tr>
        <w:trPr>
          <w:tblHeader/>
        </w:trPr>
        <w:tc>
          <w:tcPr>
            <w:tcW w:type="dxa" w:w="2800"/>
            <w:tcBorders>
              <w:top w:val="single" w:color="D6DCE5" w:sz="4"/>
              <w:left w:val="single" w:color="D6DCE5" w:sz="4"/>
              <w:bottom w:val="single" w:color="D6DCE5" w:sz="4"/>
              <w:right w:val="single" w:color="D6DCE5" w:sz="4"/>
            </w:tcBorders>
            <w:shd w:fill="0B5FFF" w:color="auto" w:val="clear"/>
            <w:tcMar>
              <w:top w:type="dxa" w:w="140"/>
              <w:left w:type="dxa" w:w="160"/>
              <w:bottom w:type="dxa" w:w="140"/>
              <w:right w:type="dxa" w:w="160"/>
            </w:tcMar>
            <w:vAlign w:val="center"/>
          </w:tcPr>
          <w:p>
            <w:pPr>
              <w:spacing w:after="0" w:line="280"/>
              <w:jc w:val="left"/>
            </w:pPr>
            <w:r>
              <w:rPr>
                <w:rFonts w:ascii="Calibri" w:cs="Calibri" w:eastAsia="Calibri" w:hAnsi="Calibri"/>
                <w:b/>
                <w:bCs/>
                <w:color w:val="FFFFFF"/>
                <w:sz w:val="20"/>
                <w:szCs w:val="20"/>
              </w:rPr>
              <w:t xml:space="preserve">Quality gate</w:t>
            </w:r>
          </w:p>
        </w:tc>
        <w:tc>
          <w:tcPr>
            <w:tcW w:type="dxa" w:w="4400"/>
            <w:tcBorders>
              <w:top w:val="single" w:color="D6DCE5" w:sz="4"/>
              <w:left w:val="single" w:color="D6DCE5" w:sz="4"/>
              <w:bottom w:val="single" w:color="D6DCE5" w:sz="4"/>
              <w:right w:val="single" w:color="D6DCE5" w:sz="4"/>
            </w:tcBorders>
            <w:shd w:fill="0B5FFF" w:color="auto" w:val="clear"/>
            <w:tcMar>
              <w:top w:type="dxa" w:w="140"/>
              <w:left w:type="dxa" w:w="160"/>
              <w:bottom w:type="dxa" w:w="140"/>
              <w:right w:type="dxa" w:w="160"/>
            </w:tcMar>
            <w:vAlign w:val="center"/>
          </w:tcPr>
          <w:p>
            <w:pPr>
              <w:spacing w:after="0" w:line="280"/>
              <w:jc w:val="left"/>
            </w:pPr>
            <w:r>
              <w:rPr>
                <w:rFonts w:ascii="Calibri" w:cs="Calibri" w:eastAsia="Calibri" w:hAnsi="Calibri"/>
                <w:b/>
                <w:bCs/>
                <w:color w:val="FFFFFF"/>
                <w:sz w:val="20"/>
                <w:szCs w:val="20"/>
              </w:rPr>
              <w:t xml:space="preserve">What it checks</w:t>
            </w:r>
          </w:p>
        </w:tc>
        <w:tc>
          <w:tcPr>
            <w:tcW w:type="dxa" w:w="2200"/>
            <w:tcBorders>
              <w:top w:val="single" w:color="D6DCE5" w:sz="4"/>
              <w:left w:val="single" w:color="D6DCE5" w:sz="4"/>
              <w:bottom w:val="single" w:color="D6DCE5" w:sz="4"/>
              <w:right w:val="single" w:color="D6DCE5" w:sz="4"/>
            </w:tcBorders>
            <w:shd w:fill="0B5FFF" w:color="auto" w:val="clear"/>
            <w:tcMar>
              <w:top w:type="dxa" w:w="140"/>
              <w:left w:type="dxa" w:w="160"/>
              <w:bottom w:type="dxa" w:w="140"/>
              <w:right w:type="dxa" w:w="160"/>
            </w:tcMar>
            <w:vAlign w:val="center"/>
          </w:tcPr>
          <w:p>
            <w:pPr>
              <w:spacing w:after="0" w:line="280"/>
              <w:jc w:val="left"/>
            </w:pPr>
            <w:r>
              <w:rPr>
                <w:rFonts w:ascii="Calibri" w:cs="Calibri" w:eastAsia="Calibri" w:hAnsi="Calibri"/>
                <w:b/>
                <w:bCs/>
                <w:color w:val="FFFFFF"/>
                <w:sz w:val="20"/>
                <w:szCs w:val="20"/>
              </w:rPr>
              <w:t xml:space="preserve">Status</w:t>
            </w:r>
          </w:p>
        </w:tc>
      </w:tr>
      <w:tr>
        <w:tc>
          <w:tcPr>
            <w:tcW w:type="dxa" w:w="28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Automated test suite</w:t>
            </w:r>
          </w:p>
        </w:tc>
        <w:tc>
          <w:tcPr>
            <w:tcW w:type="dxa" w:w="44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136 automated scenarios covering every business and security path (487 individual assertions)</w:t>
            </w:r>
          </w:p>
        </w:tc>
        <w:tc>
          <w:tcPr>
            <w:tcW w:type="dxa" w:w="22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  All passing</w:t>
            </w:r>
          </w:p>
        </w:tc>
      </w:tr>
      <w:tr>
        <w:tc>
          <w:tcPr>
            <w:tcW w:type="dxa" w:w="28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Static code analysis</w:t>
            </w:r>
          </w:p>
        </w:tc>
        <w:tc>
          <w:tcPr>
            <w:tcW w:type="dxa" w:w="44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Rule-based inspection that catches type errors, unused code, and risky patterns before runtime</w:t>
            </w:r>
          </w:p>
        </w:tc>
        <w:tc>
          <w:tcPr>
            <w:tcW w:type="dxa" w:w="22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  Clean at Level 6</w:t>
            </w:r>
          </w:p>
        </w:tc>
      </w:tr>
      <w:tr>
        <w:tc>
          <w:tcPr>
            <w:tcW w:type="dxa" w:w="28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Code style check</w:t>
            </w:r>
          </w:p>
        </w:tc>
        <w:tc>
          <w:tcPr>
            <w:tcW w:type="dxa" w:w="44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Enforces consistent formatting and strict typing across the whole codebase</w:t>
            </w:r>
          </w:p>
        </w:tc>
        <w:tc>
          <w:tcPr>
            <w:tcW w:type="dxa" w:w="22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  Clean</w:t>
            </w:r>
          </w:p>
        </w:tc>
      </w:tr>
      <w:tr>
        <w:tc>
          <w:tcPr>
            <w:tcW w:type="dxa" w:w="28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Front-end type check</w:t>
            </w:r>
          </w:p>
        </w:tc>
        <w:tc>
          <w:tcPr>
            <w:tcW w:type="dxa" w:w="44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Verifies that every data shape used in the user interface matches what the backend sends</w:t>
            </w:r>
          </w:p>
        </w:tc>
        <w:tc>
          <w:tcPr>
            <w:tcW w:type="dxa" w:w="22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  Clean (strict mode)</w:t>
            </w:r>
          </w:p>
        </w:tc>
      </w:tr>
    </w:tbl>
    <w:p>
      <w:pPr>
        <w:spacing w:after="160"/>
      </w:pPr>
      <w:r>
        <w:t xml:space="preserve"/>
      </w:r>
    </w:p>
    <w:p>
      <w:pPr>
        <w:pStyle w:val="Heading3"/>
        <w:spacing w:after="160" w:before="300"/>
      </w:pPr>
      <w:r>
        <w:rPr>
          <w:rFonts w:ascii="Calibri" w:cs="Calibri" w:eastAsia="Calibri" w:hAnsi="Calibri"/>
          <w:b/>
          <w:bCs/>
          <w:color w:val="1A1A1A"/>
          <w:sz w:val="24"/>
          <w:szCs w:val="24"/>
        </w:rPr>
        <w:t xml:space="preserve">What the tests actually prove</w:t>
      </w:r>
    </w:p>
    <w:p>
      <w:pPr>
        <w:pStyle w:val="ListParagraph"/>
        <w:numPr>
          <w:ilvl w:val="0"/>
          <w:numId w:val="2"/>
        </w:numPr>
        <w:spacing w:after="100" w:line="300"/>
      </w:pPr>
      <w:r>
        <w:rPr>
          <w:rFonts w:ascii="Calibri" w:cs="Calibri" w:eastAsia="Calibri" w:hAnsi="Calibri"/>
          <w:b/>
          <w:bCs/>
          <w:color w:val="1A1A1A"/>
          <w:sz w:val="22"/>
          <w:szCs w:val="22"/>
        </w:rPr>
        <w:t xml:space="preserve">Tenant isolation: </w:t>
      </w:r>
      <w:r>
        <w:rPr>
          <w:rFonts w:ascii="Calibri" w:cs="Calibri" w:eastAsia="Calibri" w:hAnsi="Calibri"/>
          <w:color w:val="1A1A1A"/>
          <w:sz w:val="22"/>
          <w:szCs w:val="22"/>
        </w:rPr>
        <w:t xml:space="preserve"> that a client-portal user cannot see another client's records, under any sequence of actions.</w:t>
      </w:r>
    </w:p>
    <w:p>
      <w:pPr>
        <w:pStyle w:val="ListParagraph"/>
        <w:numPr>
          <w:ilvl w:val="0"/>
          <w:numId w:val="2"/>
        </w:numPr>
        <w:spacing w:after="100" w:line="300"/>
      </w:pPr>
      <w:r>
        <w:rPr>
          <w:rFonts w:ascii="Calibri" w:cs="Calibri" w:eastAsia="Calibri" w:hAnsi="Calibri"/>
          <w:b/>
          <w:bCs/>
          <w:color w:val="1A1A1A"/>
          <w:sz w:val="22"/>
          <w:szCs w:val="22"/>
        </w:rPr>
        <w:t xml:space="preserve">PII masking: </w:t>
      </w:r>
      <w:r>
        <w:rPr>
          <w:rFonts w:ascii="Calibri" w:cs="Calibri" w:eastAsia="Calibri" w:hAnsi="Calibri"/>
          <w:color w:val="1A1A1A"/>
          <w:sz w:val="22"/>
          <w:szCs w:val="22"/>
        </w:rPr>
        <w:t xml:space="preserve"> that raw email addresses and phone numbers never appear in payloads sent to client-portal viewers — asserted at the raw-text level.</w:t>
      </w:r>
    </w:p>
    <w:p>
      <w:pPr>
        <w:pStyle w:val="ListParagraph"/>
        <w:numPr>
          <w:ilvl w:val="0"/>
          <w:numId w:val="2"/>
        </w:numPr>
        <w:spacing w:after="100" w:line="300"/>
      </w:pPr>
      <w:r>
        <w:rPr>
          <w:rFonts w:ascii="Calibri" w:cs="Calibri" w:eastAsia="Calibri" w:hAnsi="Calibri"/>
          <w:b/>
          <w:bCs/>
          <w:color w:val="1A1A1A"/>
          <w:sz w:val="22"/>
          <w:szCs w:val="22"/>
        </w:rPr>
        <w:t xml:space="preserve">Workflow integrity: </w:t>
      </w:r>
      <w:r>
        <w:rPr>
          <w:rFonts w:ascii="Calibri" w:cs="Calibri" w:eastAsia="Calibri" w:hAnsi="Calibri"/>
          <w:color w:val="1A1A1A"/>
          <w:sz w:val="22"/>
          <w:szCs w:val="22"/>
        </w:rPr>
        <w:t xml:space="preserve"> that illegal incident status transitions are rejected and that lifecycle timestamps are preserved across re-opens.</w:t>
      </w:r>
    </w:p>
    <w:p>
      <w:pPr>
        <w:pStyle w:val="ListParagraph"/>
        <w:numPr>
          <w:ilvl w:val="0"/>
          <w:numId w:val="2"/>
        </w:numPr>
        <w:spacing w:after="100" w:line="300"/>
      </w:pPr>
      <w:r>
        <w:rPr>
          <w:rFonts w:ascii="Calibri" w:cs="Calibri" w:eastAsia="Calibri" w:hAnsi="Calibri"/>
          <w:b/>
          <w:bCs/>
          <w:color w:val="1A1A1A"/>
          <w:sz w:val="22"/>
          <w:szCs w:val="22"/>
        </w:rPr>
        <w:t xml:space="preserve">Forged-payload defence: </w:t>
      </w:r>
      <w:r>
        <w:rPr>
          <w:rFonts w:ascii="Calibri" w:cs="Calibri" w:eastAsia="Calibri" w:hAnsi="Calibri"/>
          <w:color w:val="1A1A1A"/>
          <w:sz w:val="22"/>
          <w:szCs w:val="22"/>
        </w:rPr>
        <w:t xml:space="preserve"> that a client-portal user attempting to submit an incident for a different tenant has their submission silently re-scoped to their own tenant.</w:t>
      </w:r>
    </w:p>
    <w:p>
      <w:pPr>
        <w:pStyle w:val="ListParagraph"/>
        <w:numPr>
          <w:ilvl w:val="0"/>
          <w:numId w:val="2"/>
        </w:numPr>
        <w:spacing w:after="100" w:line="300"/>
      </w:pPr>
      <w:r>
        <w:rPr>
          <w:rFonts w:ascii="Calibri" w:cs="Calibri" w:eastAsia="Calibri" w:hAnsi="Calibri"/>
          <w:b/>
          <w:bCs/>
          <w:color w:val="1A1A1A"/>
          <w:sz w:val="22"/>
          <w:szCs w:val="22"/>
        </w:rPr>
        <w:t xml:space="preserve">Audit capture: </w:t>
      </w:r>
      <w:r>
        <w:rPr>
          <w:rFonts w:ascii="Calibri" w:cs="Calibri" w:eastAsia="Calibri" w:hAnsi="Calibri"/>
          <w:color w:val="1A1A1A"/>
          <w:sz w:val="22"/>
          <w:szCs w:val="22"/>
        </w:rPr>
        <w:t xml:space="preserve"> that a real admin editing a real client leaves an audit entry naming them, with the before and after values.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F5B" w:sz="24"/>
              <w:left w:val="single" w:color="0E8F5B" w:sz="24"/>
              <w:bottom w:val="single" w:color="0E8F5B" w:sz="4"/>
              <w:right w:val="single" w:color="0E8F5B" w:sz="4"/>
            </w:tcBorders>
            <w:shd w:fill="EEFBF5" w:color="auto" w:val="clear"/>
            <w:tcMar>
              <w:top w:type="dxa" w:w="220"/>
              <w:left w:type="dxa" w:w="260"/>
              <w:bottom w:type="dxa" w:w="220"/>
              <w:right w:type="dxa" w:w="260"/>
            </w:tcMar>
          </w:tcPr>
          <w:p>
            <w:pPr>
              <w:spacing w:after="100"/>
            </w:pPr>
            <w:r>
              <w:rPr>
                <w:rFonts w:ascii="Calibri" w:cs="Calibri" w:eastAsia="Calibri" w:hAnsi="Calibri"/>
                <w:b/>
                <w:bCs/>
                <w:color w:val="0E8F5B"/>
                <w:sz w:val="22"/>
                <w:szCs w:val="22"/>
              </w:rPr>
              <w:t xml:space="preserve">What this means for you</w:t>
            </w:r>
          </w:p>
          <w:p>
            <w:pPr>
              <w:spacing w:after="0" w:line="300"/>
            </w:pPr>
            <w:r>
              <w:rPr>
                <w:rFonts w:ascii="Calibri" w:cs="Calibri" w:eastAsia="Calibri" w:hAnsi="Calibri"/>
                <w:color w:val="1A1A1A"/>
                <w:sz w:val="22"/>
                <w:szCs w:val="22"/>
              </w:rPr>
              <w:t xml:space="preserve">Every security control we claim is checked by a test on every change. If a future developer breaks it, their change is blocked at the pull-request stage — before any user sees a defect.</w:t>
            </w:r>
          </w:p>
        </w:tc>
      </w:tr>
    </w:tbl>
    <w:p>
      <w:r>
        <w:br w:type="page"/>
      </w:r>
    </w:p>
    <w:p>
      <w:pPr>
        <w:pStyle w:val="Heading1"/>
        <w:spacing w:after="200" w:before="400"/>
      </w:pPr>
      <w:r>
        <w:rPr>
          <w:rFonts w:ascii="Calibri" w:cs="Calibri" w:eastAsia="Calibri" w:hAnsi="Calibri"/>
          <w:b/>
          <w:bCs/>
          <w:color w:val="0B5FFF"/>
          <w:sz w:val="40"/>
          <w:szCs w:val="40"/>
        </w:rPr>
        <w:t xml:space="preserve">Technology Stack — and Why Each Choice</w:t>
      </w:r>
    </w:p>
    <w:p>
      <w:pPr>
        <w:pBdr>
          <w:bottom w:val="single" w:color="D6DCE5" w:sz="6" w:space="1"/>
        </w:pBdr>
        <w:spacing w:after="240" w:before="100"/>
      </w:pPr>
      <w:r>
        <w:t xml:space="preserve"/>
      </w:r>
    </w:p>
    <w:p>
      <w:pPr>
        <w:spacing w:after="120" w:line="300"/>
      </w:pPr>
      <w:r>
        <w:rPr>
          <w:rFonts w:ascii="Calibri" w:cs="Calibri" w:eastAsia="Calibri" w:hAnsi="Calibri"/>
          <w:color w:val="1A1A1A"/>
          <w:sz w:val="22"/>
          <w:szCs w:val="22"/>
        </w:rPr>
        <w:t xml:space="preserve">The stack was chosen for long-term maintainability, mature security tooling and a large hiring pool. Each component below is an industry-standard, long-term supported technology.</w:t>
      </w:r>
    </w:p>
    <w:p>
      <w:pPr>
        <w:spacing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rPr>
          <w:tblHeader/>
        </w:trPr>
        <w:tc>
          <w:tcPr>
            <w:tcW w:type="dxa" w:w="2400"/>
            <w:tcBorders>
              <w:top w:val="single" w:color="D6DCE5" w:sz="4"/>
              <w:left w:val="single" w:color="D6DCE5" w:sz="4"/>
              <w:bottom w:val="single" w:color="D6DCE5" w:sz="4"/>
              <w:right w:val="single" w:color="D6DCE5" w:sz="4"/>
            </w:tcBorders>
            <w:shd w:fill="0B5FFF" w:color="auto" w:val="clear"/>
            <w:tcMar>
              <w:top w:type="dxa" w:w="140"/>
              <w:left w:type="dxa" w:w="160"/>
              <w:bottom w:type="dxa" w:w="140"/>
              <w:right w:type="dxa" w:w="160"/>
            </w:tcMar>
            <w:vAlign w:val="center"/>
          </w:tcPr>
          <w:p>
            <w:pPr>
              <w:spacing w:after="0" w:line="280"/>
              <w:jc w:val="left"/>
            </w:pPr>
            <w:r>
              <w:rPr>
                <w:rFonts w:ascii="Calibri" w:cs="Calibri" w:eastAsia="Calibri" w:hAnsi="Calibri"/>
                <w:b/>
                <w:bCs/>
                <w:color w:val="FFFFFF"/>
                <w:sz w:val="20"/>
                <w:szCs w:val="20"/>
              </w:rPr>
              <w:t xml:space="preserve">Component</w:t>
            </w:r>
          </w:p>
        </w:tc>
        <w:tc>
          <w:tcPr>
            <w:tcW w:type="dxa" w:w="3400"/>
            <w:tcBorders>
              <w:top w:val="single" w:color="D6DCE5" w:sz="4"/>
              <w:left w:val="single" w:color="D6DCE5" w:sz="4"/>
              <w:bottom w:val="single" w:color="D6DCE5" w:sz="4"/>
              <w:right w:val="single" w:color="D6DCE5" w:sz="4"/>
            </w:tcBorders>
            <w:shd w:fill="0B5FFF" w:color="auto" w:val="clear"/>
            <w:tcMar>
              <w:top w:type="dxa" w:w="140"/>
              <w:left w:type="dxa" w:w="160"/>
              <w:bottom w:type="dxa" w:w="140"/>
              <w:right w:type="dxa" w:w="160"/>
            </w:tcMar>
            <w:vAlign w:val="center"/>
          </w:tcPr>
          <w:p>
            <w:pPr>
              <w:spacing w:after="0" w:line="280"/>
              <w:jc w:val="left"/>
            </w:pPr>
            <w:r>
              <w:rPr>
                <w:rFonts w:ascii="Calibri" w:cs="Calibri" w:eastAsia="Calibri" w:hAnsi="Calibri"/>
                <w:b/>
                <w:bCs/>
                <w:color w:val="FFFFFF"/>
                <w:sz w:val="20"/>
                <w:szCs w:val="20"/>
              </w:rPr>
              <w:t xml:space="preserve">What it is</w:t>
            </w:r>
          </w:p>
        </w:tc>
        <w:tc>
          <w:tcPr>
            <w:tcW w:type="dxa" w:w="3600"/>
            <w:tcBorders>
              <w:top w:val="single" w:color="D6DCE5" w:sz="4"/>
              <w:left w:val="single" w:color="D6DCE5" w:sz="4"/>
              <w:bottom w:val="single" w:color="D6DCE5" w:sz="4"/>
              <w:right w:val="single" w:color="D6DCE5" w:sz="4"/>
            </w:tcBorders>
            <w:shd w:fill="0B5FFF" w:color="auto" w:val="clear"/>
            <w:tcMar>
              <w:top w:type="dxa" w:w="140"/>
              <w:left w:type="dxa" w:w="160"/>
              <w:bottom w:type="dxa" w:w="140"/>
              <w:right w:type="dxa" w:w="160"/>
            </w:tcMar>
            <w:vAlign w:val="center"/>
          </w:tcPr>
          <w:p>
            <w:pPr>
              <w:spacing w:after="0" w:line="280"/>
              <w:jc w:val="left"/>
            </w:pPr>
            <w:r>
              <w:rPr>
                <w:rFonts w:ascii="Calibri" w:cs="Calibri" w:eastAsia="Calibri" w:hAnsi="Calibri"/>
                <w:b/>
                <w:bCs/>
                <w:color w:val="FFFFFF"/>
                <w:sz w:val="20"/>
                <w:szCs w:val="20"/>
              </w:rPr>
              <w:t xml:space="preserve">Why it matters to you</w:t>
            </w:r>
          </w:p>
        </w:tc>
      </w:tr>
      <w:tr>
        <w:tc>
          <w:tcPr>
            <w:tcW w:type="dxa" w:w="24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Laravel 13 (PHP 8.4)</w:t>
            </w:r>
          </w:p>
        </w:tc>
        <w:tc>
          <w:tcPr>
            <w:tcW w:type="dxa" w:w="34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The leading PHP web framework; the current major release.</w:t>
            </w:r>
          </w:p>
        </w:tc>
        <w:tc>
          <w:tcPr>
            <w:tcW w:type="dxa" w:w="36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Fast to build in, excellent security defaults, mature talent pool for future handovers.</w:t>
            </w:r>
          </w:p>
        </w:tc>
      </w:tr>
      <w:tr>
        <w:tc>
          <w:tcPr>
            <w:tcW w:type="dxa" w:w="24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React 19 + TypeScript</w:t>
            </w:r>
          </w:p>
        </w:tc>
        <w:tc>
          <w:tcPr>
            <w:tcW w:type="dxa" w:w="34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The leading front-end library, with strict typing.</w:t>
            </w:r>
          </w:p>
        </w:tc>
        <w:tc>
          <w:tcPr>
            <w:tcW w:type="dxa" w:w="36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Type safety catches entire classes of bug at compile time, before users see them.</w:t>
            </w:r>
          </w:p>
        </w:tc>
      </w:tr>
      <w:tr>
        <w:tc>
          <w:tcPr>
            <w:tcW w:type="dxa" w:w="24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Inertia.js</w:t>
            </w:r>
          </w:p>
        </w:tc>
        <w:tc>
          <w:tcPr>
            <w:tcW w:type="dxa" w:w="34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Bridges the back end and front end so they share one model.</w:t>
            </w:r>
          </w:p>
        </w:tc>
        <w:tc>
          <w:tcPr>
            <w:tcW w:type="dxa" w:w="36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Eliminates duplication between the API and the UI, reducing the surface where bugs hide.</w:t>
            </w:r>
          </w:p>
        </w:tc>
      </w:tr>
      <w:tr>
        <w:tc>
          <w:tcPr>
            <w:tcW w:type="dxa" w:w="24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shadcn/ui + Tailwind</w:t>
            </w:r>
          </w:p>
        </w:tc>
        <w:tc>
          <w:tcPr>
            <w:tcW w:type="dxa" w:w="34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Accessible UI components and a utility-first styling system.</w:t>
            </w:r>
          </w:p>
        </w:tc>
        <w:tc>
          <w:tcPr>
            <w:tcW w:type="dxa" w:w="36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Consistent, accessible, modern interface without months of design work.</w:t>
            </w:r>
          </w:p>
        </w:tc>
      </w:tr>
      <w:tr>
        <w:tc>
          <w:tcPr>
            <w:tcW w:type="dxa" w:w="24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MySQL 8</w:t>
            </w:r>
          </w:p>
        </w:tc>
        <w:tc>
          <w:tcPr>
            <w:tcW w:type="dxa" w:w="34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Battle-tested relational database.</w:t>
            </w:r>
          </w:p>
        </w:tc>
        <w:tc>
          <w:tcPr>
            <w:tcW w:type="dxa" w:w="36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Universally understood by operations teams; strong backup and recovery tooling.</w:t>
            </w:r>
          </w:p>
        </w:tc>
      </w:tr>
      <w:tr>
        <w:tc>
          <w:tcPr>
            <w:tcW w:type="dxa" w:w="24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Spatie Permission</w:t>
            </w:r>
          </w:p>
        </w:tc>
        <w:tc>
          <w:tcPr>
            <w:tcW w:type="dxa" w:w="34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The de-facto role and permission library for Laravel.</w:t>
            </w:r>
          </w:p>
        </w:tc>
        <w:tc>
          <w:tcPr>
            <w:tcW w:type="dxa" w:w="36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Fine-grained access control that regulators recognise and auditors can read.</w:t>
            </w:r>
          </w:p>
        </w:tc>
      </w:tr>
      <w:tr>
        <w:tc>
          <w:tcPr>
            <w:tcW w:type="dxa" w:w="24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Spatie ActivityLog</w:t>
            </w:r>
          </w:p>
        </w:tc>
        <w:tc>
          <w:tcPr>
            <w:tcW w:type="dxa" w:w="34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The de-facto audit-logging library for Laravel.</w:t>
            </w:r>
          </w:p>
        </w:tc>
        <w:tc>
          <w:tcPr>
            <w:tcW w:type="dxa" w:w="36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Automatic property-level audit trail with no custom code to maintain.</w:t>
            </w:r>
          </w:p>
        </w:tc>
      </w:tr>
      <w:tr>
        <w:tc>
          <w:tcPr>
            <w:tcW w:type="dxa" w:w="24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Laravel Fortify</w:t>
            </w:r>
          </w:p>
        </w:tc>
        <w:tc>
          <w:tcPr>
            <w:tcW w:type="dxa" w:w="34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Official Laravel authentication back-end with two-factor built in.</w:t>
            </w:r>
          </w:p>
        </w:tc>
        <w:tc>
          <w:tcPr>
            <w:tcW w:type="dxa" w:w="36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Battle-tested authentication primitives; no in-house crypto decisions.</w:t>
            </w:r>
          </w:p>
        </w:tc>
      </w:tr>
      <w:tr>
        <w:tc>
          <w:tcPr>
            <w:tcW w:type="dxa" w:w="24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Pest 3</w:t>
            </w:r>
          </w:p>
        </w:tc>
        <w:tc>
          <w:tcPr>
            <w:tcW w:type="dxa" w:w="34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Expressive automated-testing framework.</w:t>
            </w:r>
          </w:p>
        </w:tc>
        <w:tc>
          <w:tcPr>
            <w:tcW w:type="dxa" w:w="36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Tests read almost like English, keeping the test suite maintainable as it grows.</w:t>
            </w:r>
          </w:p>
        </w:tc>
      </w:tr>
    </w:tbl>
    <w:p>
      <w:r>
        <w:br w:type="page"/>
      </w:r>
    </w:p>
    <w:p>
      <w:pPr>
        <w:pStyle w:val="Heading1"/>
        <w:spacing w:after="200" w:before="400"/>
      </w:pPr>
      <w:r>
        <w:rPr>
          <w:rFonts w:ascii="Calibri" w:cs="Calibri" w:eastAsia="Calibri" w:hAnsi="Calibri"/>
          <w:b/>
          <w:bCs/>
          <w:color w:val="0B5FFF"/>
          <w:sz w:val="40"/>
          <w:szCs w:val="40"/>
        </w:rPr>
        <w:t xml:space="preserve">Engineering Discipline — How We Ship</w:t>
      </w:r>
    </w:p>
    <w:p>
      <w:pPr>
        <w:pBdr>
          <w:bottom w:val="single" w:color="D6DCE5" w:sz="6" w:space="1"/>
        </w:pBdr>
        <w:spacing w:after="240" w:before="100"/>
      </w:pPr>
      <w:r>
        <w:t xml:space="preserve"/>
      </w:r>
    </w:p>
    <w:p>
      <w:pPr>
        <w:spacing w:after="120" w:line="300"/>
      </w:pPr>
      <w:r>
        <w:rPr>
          <w:rFonts w:ascii="Calibri" w:cs="Calibri" w:eastAsia="Calibri" w:hAnsi="Calibri"/>
          <w:color w:val="1A1A1A"/>
          <w:sz w:val="22"/>
          <w:szCs w:val="22"/>
        </w:rPr>
        <w:t xml:space="preserve">How a team ships is as important as what it ships. The repository demonstrates a disciplined release process that scales to a team of any size without changing shape.</w:t>
      </w:r>
    </w:p>
    <w:p>
      <w:pPr>
        <w:pStyle w:val="Heading3"/>
        <w:spacing w:after="160" w:before="300"/>
      </w:pPr>
      <w:r>
        <w:rPr>
          <w:rFonts w:ascii="Calibri" w:cs="Calibri" w:eastAsia="Calibri" w:hAnsi="Calibri"/>
          <w:b/>
          <w:bCs/>
          <w:color w:val="1A1A1A"/>
          <w:sz w:val="24"/>
          <w:szCs w:val="24"/>
        </w:rPr>
        <w:t xml:space="preserve">Three-tier release flow</w:t>
      </w:r>
    </w:p>
    <w:p>
      <w:pPr>
        <w:spacing w:after="120" w:line="300"/>
      </w:pPr>
      <w:r>
        <w:rPr>
          <w:rFonts w:ascii="Calibri" w:cs="Calibri" w:eastAsia="Calibri" w:hAnsi="Calibri"/>
          <w:color w:val="1A1A1A"/>
          <w:sz w:val="22"/>
          <w:szCs w:val="22"/>
        </w:rPr>
        <w:t xml:space="preserve">Every change moves through three stages, each gated by a pull request that any reviewer can inspect: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3000"/>
      </w:tblGrid>
      <w:tr>
        <w:trPr>
          <w:tblHeader/>
        </w:trPr>
        <w:tc>
          <w:tcPr>
            <w:tcW w:type="dxa" w:w="2000"/>
            <w:tcBorders>
              <w:top w:val="single" w:color="D6DCE5" w:sz="4"/>
              <w:left w:val="single" w:color="D6DCE5" w:sz="4"/>
              <w:bottom w:val="single" w:color="D6DCE5" w:sz="4"/>
              <w:right w:val="single" w:color="D6DCE5" w:sz="4"/>
            </w:tcBorders>
            <w:shd w:fill="0B5FFF" w:color="auto" w:val="clear"/>
            <w:tcMar>
              <w:top w:type="dxa" w:w="140"/>
              <w:left w:type="dxa" w:w="160"/>
              <w:bottom w:type="dxa" w:w="140"/>
              <w:right w:type="dxa" w:w="160"/>
            </w:tcMar>
            <w:vAlign w:val="center"/>
          </w:tcPr>
          <w:p>
            <w:pPr>
              <w:spacing w:after="0" w:line="280"/>
              <w:jc w:val="left"/>
            </w:pPr>
            <w:r>
              <w:rPr>
                <w:rFonts w:ascii="Calibri" w:cs="Calibri" w:eastAsia="Calibri" w:hAnsi="Calibri"/>
                <w:b/>
                <w:bCs/>
                <w:color w:val="FFFFFF"/>
                <w:sz w:val="20"/>
                <w:szCs w:val="20"/>
              </w:rPr>
              <w:t xml:space="preserve">Stage</w:t>
            </w:r>
          </w:p>
        </w:tc>
        <w:tc>
          <w:tcPr>
            <w:tcW w:type="dxa" w:w="4400"/>
            <w:tcBorders>
              <w:top w:val="single" w:color="D6DCE5" w:sz="4"/>
              <w:left w:val="single" w:color="D6DCE5" w:sz="4"/>
              <w:bottom w:val="single" w:color="D6DCE5" w:sz="4"/>
              <w:right w:val="single" w:color="D6DCE5" w:sz="4"/>
            </w:tcBorders>
            <w:shd w:fill="0B5FFF" w:color="auto" w:val="clear"/>
            <w:tcMar>
              <w:top w:type="dxa" w:w="140"/>
              <w:left w:type="dxa" w:w="160"/>
              <w:bottom w:type="dxa" w:w="140"/>
              <w:right w:type="dxa" w:w="160"/>
            </w:tcMar>
            <w:vAlign w:val="center"/>
          </w:tcPr>
          <w:p>
            <w:pPr>
              <w:spacing w:after="0" w:line="280"/>
              <w:jc w:val="left"/>
            </w:pPr>
            <w:r>
              <w:rPr>
                <w:rFonts w:ascii="Calibri" w:cs="Calibri" w:eastAsia="Calibri" w:hAnsi="Calibri"/>
                <w:b/>
                <w:bCs/>
                <w:color w:val="FFFFFF"/>
                <w:sz w:val="20"/>
                <w:szCs w:val="20"/>
              </w:rPr>
              <w:t xml:space="preserve">Role</w:t>
            </w:r>
          </w:p>
        </w:tc>
        <w:tc>
          <w:tcPr>
            <w:tcW w:type="dxa" w:w="3000"/>
            <w:tcBorders>
              <w:top w:val="single" w:color="D6DCE5" w:sz="4"/>
              <w:left w:val="single" w:color="D6DCE5" w:sz="4"/>
              <w:bottom w:val="single" w:color="D6DCE5" w:sz="4"/>
              <w:right w:val="single" w:color="D6DCE5" w:sz="4"/>
            </w:tcBorders>
            <w:shd w:fill="0B5FFF" w:color="auto" w:val="clear"/>
            <w:tcMar>
              <w:top w:type="dxa" w:w="140"/>
              <w:left w:type="dxa" w:w="160"/>
              <w:bottom w:type="dxa" w:w="140"/>
              <w:right w:type="dxa" w:w="160"/>
            </w:tcMar>
            <w:vAlign w:val="center"/>
          </w:tcPr>
          <w:p>
            <w:pPr>
              <w:spacing w:after="0" w:line="280"/>
              <w:jc w:val="left"/>
            </w:pPr>
            <w:r>
              <w:rPr>
                <w:rFonts w:ascii="Calibri" w:cs="Calibri" w:eastAsia="Calibri" w:hAnsi="Calibri"/>
                <w:b/>
                <w:bCs/>
                <w:color w:val="FFFFFF"/>
                <w:sz w:val="20"/>
                <w:szCs w:val="20"/>
              </w:rPr>
              <w:t xml:space="preserve">Example</w:t>
            </w:r>
          </w:p>
        </w:tc>
      </w:tr>
      <w:tr>
        <w:tc>
          <w:tcPr>
            <w:tcW w:type="dxa" w:w="20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development</w:t>
            </w:r>
          </w:p>
        </w:tc>
        <w:tc>
          <w:tcPr>
            <w:tcW w:type="dxa" w:w="44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Active work for the next release.</w:t>
            </w:r>
          </w:p>
        </w:tc>
        <w:tc>
          <w:tcPr>
            <w:tcW w:type="dxa" w:w="30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Daily merges from feature branches.</w:t>
            </w:r>
          </w:p>
        </w:tc>
      </w:tr>
      <w:tr>
        <w:tc>
          <w:tcPr>
            <w:tcW w:type="dxa" w:w="20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main</w:t>
            </w:r>
          </w:p>
        </w:tc>
        <w:tc>
          <w:tcPr>
            <w:tcW w:type="dxa" w:w="44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Verified staging line — represents what will deploy next.</w:t>
            </w:r>
          </w:p>
        </w:tc>
        <w:tc>
          <w:tcPr>
            <w:tcW w:type="dxa" w:w="30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Promoted from development after review.</w:t>
            </w:r>
          </w:p>
        </w:tc>
      </w:tr>
      <w:tr>
        <w:tc>
          <w:tcPr>
            <w:tcW w:type="dxa" w:w="20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production</w:t>
            </w:r>
          </w:p>
        </w:tc>
        <w:tc>
          <w:tcPr>
            <w:tcW w:type="dxa" w:w="44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The deploy ledger — exactly what is live.</w:t>
            </w:r>
          </w:p>
        </w:tc>
        <w:tc>
          <w:tcPr>
            <w:tcW w:type="dxa" w:w="30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Promoted from main after staging sign-off.</w:t>
            </w:r>
          </w:p>
        </w:tc>
      </w:tr>
    </w:tbl>
    <w:p>
      <w:pPr>
        <w:spacing w:after="140"/>
      </w:pPr>
      <w:r>
        <w:t xml:space="preserve"/>
      </w:r>
    </w:p>
    <w:p>
      <w:pPr>
        <w:pStyle w:val="Heading3"/>
        <w:spacing w:after="160" w:before="300"/>
      </w:pPr>
      <w:r>
        <w:rPr>
          <w:rFonts w:ascii="Calibri" w:cs="Calibri" w:eastAsia="Calibri" w:hAnsi="Calibri"/>
          <w:b/>
          <w:bCs/>
          <w:color w:val="1A1A1A"/>
          <w:sz w:val="24"/>
          <w:szCs w:val="24"/>
        </w:rPr>
        <w:t xml:space="preserve">What this discipline gives you</w:t>
      </w:r>
    </w:p>
    <w:p>
      <w:pPr>
        <w:pStyle w:val="ListParagraph"/>
        <w:numPr>
          <w:ilvl w:val="0"/>
          <w:numId w:val="2"/>
        </w:numPr>
        <w:spacing w:after="100" w:line="300"/>
      </w:pPr>
      <w:r>
        <w:rPr>
          <w:rFonts w:ascii="Calibri" w:cs="Calibri" w:eastAsia="Calibri" w:hAnsi="Calibri"/>
          <w:b/>
          <w:bCs/>
          <w:color w:val="1A1A1A"/>
          <w:sz w:val="22"/>
          <w:szCs w:val="22"/>
        </w:rPr>
        <w:t xml:space="preserve">Full change provenance: </w:t>
      </w:r>
      <w:r>
        <w:rPr>
          <w:rFonts w:ascii="Calibri" w:cs="Calibri" w:eastAsia="Calibri" w:hAnsi="Calibri"/>
          <w:color w:val="1A1A1A"/>
          <w:sz w:val="22"/>
          <w:szCs w:val="22"/>
        </w:rPr>
        <w:t xml:space="preserve"> every change deployed to production has a numbered pull request behind it, with the author, reviewer, timestamp and test outcome preserved indefinitely.</w:t>
      </w:r>
    </w:p>
    <w:p>
      <w:pPr>
        <w:pStyle w:val="ListParagraph"/>
        <w:numPr>
          <w:ilvl w:val="0"/>
          <w:numId w:val="2"/>
        </w:numPr>
        <w:spacing w:after="100" w:line="300"/>
      </w:pPr>
      <w:r>
        <w:rPr>
          <w:rFonts w:ascii="Calibri" w:cs="Calibri" w:eastAsia="Calibri" w:hAnsi="Calibri"/>
          <w:b/>
          <w:bCs/>
          <w:color w:val="1A1A1A"/>
          <w:sz w:val="22"/>
          <w:szCs w:val="22"/>
        </w:rPr>
        <w:t xml:space="preserve">Permanent history: </w:t>
      </w:r>
      <w:r>
        <w:rPr>
          <w:rFonts w:ascii="Calibri" w:cs="Calibri" w:eastAsia="Calibri" w:hAnsi="Calibri"/>
          <w:color w:val="1A1A1A"/>
          <w:sz w:val="22"/>
          <w:szCs w:val="22"/>
        </w:rPr>
        <w:t xml:space="preserve"> no feature branch is ever deleted. If you need to understand why a decision was made two years from now, the branch and its original diff are still there.</w:t>
      </w:r>
    </w:p>
    <w:p>
      <w:pPr>
        <w:pStyle w:val="ListParagraph"/>
        <w:numPr>
          <w:ilvl w:val="0"/>
          <w:numId w:val="2"/>
        </w:numPr>
        <w:spacing w:after="100" w:line="300"/>
      </w:pPr>
      <w:r>
        <w:rPr>
          <w:rFonts w:ascii="Calibri" w:cs="Calibri" w:eastAsia="Calibri" w:hAnsi="Calibri"/>
          <w:b/>
          <w:bCs/>
          <w:color w:val="1A1A1A"/>
          <w:sz w:val="22"/>
          <w:szCs w:val="22"/>
        </w:rPr>
        <w:t xml:space="preserve">Fast rollback: </w:t>
      </w:r>
      <w:r>
        <w:rPr>
          <w:rFonts w:ascii="Calibri" w:cs="Calibri" w:eastAsia="Calibri" w:hAnsi="Calibri"/>
          <w:color w:val="1A1A1A"/>
          <w:sz w:val="22"/>
          <w:szCs w:val="22"/>
        </w:rPr>
        <w:t xml:space="preserve"> production is always a single pull request away from main, so a hotfix is as fast as a feature.</w:t>
      </w:r>
    </w:p>
    <w:p>
      <w:pPr>
        <w:pStyle w:val="ListParagraph"/>
        <w:numPr>
          <w:ilvl w:val="0"/>
          <w:numId w:val="2"/>
        </w:numPr>
        <w:spacing w:after="100" w:line="300"/>
      </w:pPr>
      <w:r>
        <w:rPr>
          <w:rFonts w:ascii="Calibri" w:cs="Calibri" w:eastAsia="Calibri" w:hAnsi="Calibri"/>
          <w:b/>
          <w:bCs/>
          <w:color w:val="1A1A1A"/>
          <w:sz w:val="22"/>
          <w:szCs w:val="22"/>
        </w:rPr>
        <w:t xml:space="preserve">Auditor-friendly: </w:t>
      </w:r>
      <w:r>
        <w:rPr>
          <w:rFonts w:ascii="Calibri" w:cs="Calibri" w:eastAsia="Calibri" w:hAnsi="Calibri"/>
          <w:color w:val="1A1A1A"/>
          <w:sz w:val="22"/>
          <w:szCs w:val="22"/>
        </w:rPr>
        <w:t xml:space="preserve"> external auditors can read the exact sequence of changes that took the application from empty repository to current state.</w:t>
      </w:r>
    </w:p>
    <w:p>
      <w:pPr>
        <w:spacing w:after="160"/>
      </w:pPr>
      <w:r>
        <w:t xml:space="preserve"/>
      </w:r>
    </w:p>
    <w:p>
      <w:pPr>
        <w:pStyle w:val="Heading3"/>
        <w:spacing w:after="160" w:before="300"/>
      </w:pPr>
      <w:r>
        <w:rPr>
          <w:rFonts w:ascii="Calibri" w:cs="Calibri" w:eastAsia="Calibri" w:hAnsi="Calibri"/>
          <w:b/>
          <w:bCs/>
          <w:color w:val="1A1A1A"/>
          <w:sz w:val="24"/>
          <w:szCs w:val="24"/>
        </w:rPr>
        <w:t xml:space="preserve">Statistics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6DCE5" w:sz="4"/>
              <w:left w:val="single" w:color="D6DCE5" w:sz="4"/>
              <w:bottom w:val="single" w:color="D6DCE5" w:sz="4"/>
              <w:right w:val="single" w:color="D6DCE5" w:sz="4"/>
            </w:tcBorders>
            <w:shd w:fill="0B5FFF" w:color="auto" w:val="clear"/>
            <w:tcMar>
              <w:top w:type="dxa" w:w="140"/>
              <w:left w:type="dxa" w:w="160"/>
              <w:bottom w:type="dxa" w:w="140"/>
              <w:right w:type="dxa" w:w="160"/>
            </w:tcMar>
            <w:vAlign w:val="center"/>
          </w:tcPr>
          <w:p>
            <w:pPr>
              <w:spacing w:after="0" w:line="280"/>
              <w:jc w:val="left"/>
            </w:pPr>
            <w:r>
              <w:rPr>
                <w:rFonts w:ascii="Calibri" w:cs="Calibri" w:eastAsia="Calibri" w:hAnsi="Calibri"/>
                <w:b/>
                <w:bCs/>
                <w:color w:val="FFFFFF"/>
                <w:sz w:val="20"/>
                <w:szCs w:val="20"/>
              </w:rPr>
              <w:t xml:space="preserve">Metric</w:t>
            </w:r>
          </w:p>
        </w:tc>
        <w:tc>
          <w:tcPr>
            <w:tcW w:type="dxa" w:w="5160"/>
            <w:tcBorders>
              <w:top w:val="single" w:color="D6DCE5" w:sz="4"/>
              <w:left w:val="single" w:color="D6DCE5" w:sz="4"/>
              <w:bottom w:val="single" w:color="D6DCE5" w:sz="4"/>
              <w:right w:val="single" w:color="D6DCE5" w:sz="4"/>
            </w:tcBorders>
            <w:shd w:fill="0B5FFF" w:color="auto" w:val="clear"/>
            <w:tcMar>
              <w:top w:type="dxa" w:w="140"/>
              <w:left w:type="dxa" w:w="160"/>
              <w:bottom w:type="dxa" w:w="140"/>
              <w:right w:type="dxa" w:w="160"/>
            </w:tcMar>
            <w:vAlign w:val="center"/>
          </w:tcPr>
          <w:p>
            <w:pPr>
              <w:spacing w:after="0" w:line="280"/>
              <w:jc w:val="left"/>
            </w:pPr>
            <w:r>
              <w:rPr>
                <w:rFonts w:ascii="Calibri" w:cs="Calibri" w:eastAsia="Calibri" w:hAnsi="Calibri"/>
                <w:b/>
                <w:bCs/>
                <w:color w:val="FFFFFF"/>
                <w:sz w:val="20"/>
                <w:szCs w:val="20"/>
              </w:rPr>
              <w:t xml:space="preserve">Value</w:t>
            </w:r>
          </w:p>
        </w:tc>
      </w:tr>
      <w:tr>
        <w:tc>
          <w:tcPr>
            <w:tcW w:type="dxa" w:w="42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Pull requests merged</w:t>
            </w:r>
          </w:p>
        </w:tc>
        <w:tc>
          <w:tcPr>
            <w:tcW w:type="dxa" w:w="516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26</w:t>
            </w:r>
          </w:p>
        </w:tc>
      </w:tr>
      <w:tr>
        <w:tc>
          <w:tcPr>
            <w:tcW w:type="dxa" w:w="42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Feature branches</w:t>
            </w:r>
          </w:p>
        </w:tc>
        <w:tc>
          <w:tcPr>
            <w:tcW w:type="dxa" w:w="516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8 (plus one release branch)</w:t>
            </w:r>
          </w:p>
        </w:tc>
      </w:tr>
      <w:tr>
        <w:tc>
          <w:tcPr>
            <w:tcW w:type="dxa" w:w="42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Branches preserved</w:t>
            </w:r>
          </w:p>
        </w:tc>
        <w:tc>
          <w:tcPr>
            <w:tcW w:type="dxa" w:w="516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12 (zero deleted)</w:t>
            </w:r>
          </w:p>
        </w:tc>
      </w:tr>
      <w:tr>
        <w:tc>
          <w:tcPr>
            <w:tcW w:type="dxa" w:w="42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Modules shipped</w:t>
            </w:r>
          </w:p>
        </w:tc>
        <w:tc>
          <w:tcPr>
            <w:tcW w:type="dxa" w:w="516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5 (auth, admin, portal, clients, contacts, incidents, security)</w:t>
            </w:r>
          </w:p>
        </w:tc>
      </w:tr>
      <w:tr>
        <w:tc>
          <w:tcPr>
            <w:tcW w:type="dxa" w:w="42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Lines of production code</w:t>
            </w:r>
          </w:p>
        </w:tc>
        <w:tc>
          <w:tcPr>
            <w:tcW w:type="dxa" w:w="516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Approximately 8,000</w:t>
            </w:r>
          </w:p>
        </w:tc>
      </w:tr>
      <w:tr>
        <w:tc>
          <w:tcPr>
            <w:tcW w:type="dxa" w:w="42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Lines of test code</w:t>
            </w:r>
          </w:p>
        </w:tc>
        <w:tc>
          <w:tcPr>
            <w:tcW w:type="dxa" w:w="516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Approximately 2,500</w:t>
            </w:r>
          </w:p>
        </w:tc>
      </w:tr>
      <w:tr>
        <w:tc>
          <w:tcPr>
            <w:tcW w:type="dxa" w:w="42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Documentation files</w:t>
            </w:r>
          </w:p>
        </w:tc>
        <w:tc>
          <w:tcPr>
            <w:tcW w:type="dxa" w:w="516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5 (README, Case Study, Architecture, Plan, Changelog)</w:t>
            </w:r>
          </w:p>
        </w:tc>
      </w:tr>
      <w:tr>
        <w:tc>
          <w:tcPr>
            <w:tcW w:type="dxa" w:w="42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Tagged release</w:t>
            </w:r>
          </w:p>
        </w:tc>
        <w:tc>
          <w:tcPr>
            <w:tcW w:type="dxa" w:w="516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v1.0.0 on production branch</w:t>
            </w:r>
          </w:p>
        </w:tc>
      </w:tr>
    </w:tbl>
    <w:p>
      <w:r>
        <w:br w:type="page"/>
      </w:r>
    </w:p>
    <w:p>
      <w:pPr>
        <w:pStyle w:val="Heading1"/>
        <w:spacing w:after="200" w:before="400"/>
      </w:pPr>
      <w:r>
        <w:rPr>
          <w:rFonts w:ascii="Calibri" w:cs="Calibri" w:eastAsia="Calibri" w:hAnsi="Calibri"/>
          <w:b/>
          <w:bCs/>
          <w:color w:val="0B5FFF"/>
          <w:sz w:val="40"/>
          <w:szCs w:val="40"/>
        </w:rPr>
        <w:t xml:space="preserve">What You Get When You Engage Us</w:t>
      </w:r>
    </w:p>
    <w:p>
      <w:pPr>
        <w:pBdr>
          <w:bottom w:val="single" w:color="D6DCE5" w:sz="6" w:space="1"/>
        </w:pBdr>
        <w:spacing w:after="240" w:before="100"/>
      </w:pPr>
      <w:r>
        <w:t xml:space="preserve"/>
      </w:r>
    </w:p>
    <w:p>
      <w:pPr>
        <w:spacing w:after="120" w:line="300"/>
      </w:pPr>
      <w:r>
        <w:rPr>
          <w:rFonts w:ascii="Calibri" w:cs="Calibri" w:eastAsia="Calibri" w:hAnsi="Calibri"/>
          <w:color w:val="1A1A1A"/>
          <w:sz w:val="22"/>
          <w:szCs w:val="22"/>
        </w:rPr>
        <w:t xml:space="preserve">The CRM demonstration is a sample of our output. Below is what we bring to a real engagement.</w:t>
      </w:r>
    </w:p>
    <w:p>
      <w:pPr>
        <w:pStyle w:val="Heading3"/>
        <w:spacing w:after="160" w:before="300"/>
      </w:pPr>
      <w:r>
        <w:rPr>
          <w:rFonts w:ascii="Calibri" w:cs="Calibri" w:eastAsia="Calibri" w:hAnsi="Calibri"/>
          <w:b/>
          <w:bCs/>
          <w:color w:val="1A1A1A"/>
          <w:sz w:val="24"/>
          <w:szCs w:val="24"/>
        </w:rPr>
        <w:t xml:space="preserve">Engineering output</w:t>
      </w:r>
    </w:p>
    <w:p>
      <w:pPr>
        <w:pStyle w:val="ListParagraph"/>
        <w:numPr>
          <w:ilvl w:val="0"/>
          <w:numId w:val="2"/>
        </w:numPr>
        <w:spacing w:after="100" w:line="300"/>
      </w:pPr>
      <w:r>
        <w:rPr>
          <w:rFonts w:ascii="Calibri" w:cs="Calibri" w:eastAsia="Calibri" w:hAnsi="Calibri"/>
          <w:color w:val="1A1A1A"/>
          <w:sz w:val="22"/>
          <w:szCs w:val="22"/>
        </w:rPr>
        <w:t xml:space="preserve"> Secure, SOLID, type-strict Laravel back ends with mature authentication and authorisation out of the box.</w:t>
      </w:r>
    </w:p>
    <w:p>
      <w:pPr>
        <w:pStyle w:val="ListParagraph"/>
        <w:numPr>
          <w:ilvl w:val="0"/>
          <w:numId w:val="2"/>
        </w:numPr>
        <w:spacing w:after="100" w:line="300"/>
      </w:pPr>
      <w:r>
        <w:rPr>
          <w:rFonts w:ascii="Calibri" w:cs="Calibri" w:eastAsia="Calibri" w:hAnsi="Calibri"/>
          <w:color w:val="1A1A1A"/>
          <w:sz w:val="22"/>
          <w:szCs w:val="22"/>
        </w:rPr>
        <w:t xml:space="preserve"> React + TypeScript front ends built on an accessible component library.</w:t>
      </w:r>
    </w:p>
    <w:p>
      <w:pPr>
        <w:pStyle w:val="ListParagraph"/>
        <w:numPr>
          <w:ilvl w:val="0"/>
          <w:numId w:val="2"/>
        </w:numPr>
        <w:spacing w:after="100" w:line="300"/>
      </w:pPr>
      <w:r>
        <w:rPr>
          <w:rFonts w:ascii="Calibri" w:cs="Calibri" w:eastAsia="Calibri" w:hAnsi="Calibri"/>
          <w:color w:val="1A1A1A"/>
          <w:sz w:val="22"/>
          <w:szCs w:val="22"/>
        </w:rPr>
        <w:t xml:space="preserve"> Automated test suites written alongside the code, not after it.</w:t>
      </w:r>
    </w:p>
    <w:p>
      <w:pPr>
        <w:pStyle w:val="ListParagraph"/>
        <w:numPr>
          <w:ilvl w:val="0"/>
          <w:numId w:val="2"/>
        </w:numPr>
        <w:spacing w:after="100" w:line="300"/>
      </w:pPr>
      <w:r>
        <w:rPr>
          <w:rFonts w:ascii="Calibri" w:cs="Calibri" w:eastAsia="Calibri" w:hAnsi="Calibri"/>
          <w:color w:val="1A1A1A"/>
          <w:sz w:val="22"/>
          <w:szCs w:val="22"/>
        </w:rPr>
        <w:t xml:space="preserve"> Technical documentation that a new engineer can read and be productive from on day one.</w:t>
      </w:r>
    </w:p>
    <w:p>
      <w:pPr>
        <w:pStyle w:val="Heading3"/>
        <w:spacing w:after="160" w:before="300"/>
      </w:pPr>
      <w:r>
        <w:rPr>
          <w:rFonts w:ascii="Calibri" w:cs="Calibri" w:eastAsia="Calibri" w:hAnsi="Calibri"/>
          <w:b/>
          <w:bCs/>
          <w:color w:val="1A1A1A"/>
          <w:sz w:val="24"/>
          <w:szCs w:val="24"/>
        </w:rPr>
        <w:t xml:space="preserve">Process output</w:t>
      </w:r>
    </w:p>
    <w:p>
      <w:pPr>
        <w:pStyle w:val="ListParagraph"/>
        <w:numPr>
          <w:ilvl w:val="0"/>
          <w:numId w:val="2"/>
        </w:numPr>
        <w:spacing w:after="100" w:line="300"/>
      </w:pPr>
      <w:r>
        <w:rPr>
          <w:rFonts w:ascii="Calibri" w:cs="Calibri" w:eastAsia="Calibri" w:hAnsi="Calibri"/>
          <w:color w:val="1A1A1A"/>
          <w:sz w:val="22"/>
          <w:szCs w:val="22"/>
        </w:rPr>
        <w:t xml:space="preserve"> A disciplined release workflow with clear promotion gates and a durable deploy ledger.</w:t>
      </w:r>
    </w:p>
    <w:p>
      <w:pPr>
        <w:pStyle w:val="ListParagraph"/>
        <w:numPr>
          <w:ilvl w:val="0"/>
          <w:numId w:val="2"/>
        </w:numPr>
        <w:spacing w:after="100" w:line="300"/>
      </w:pPr>
      <w:r>
        <w:rPr>
          <w:rFonts w:ascii="Calibri" w:cs="Calibri" w:eastAsia="Calibri" w:hAnsi="Calibri"/>
          <w:color w:val="1A1A1A"/>
          <w:sz w:val="22"/>
          <w:szCs w:val="22"/>
        </w:rPr>
        <w:t xml:space="preserve"> Code reviews that are tight on correctness, security and readability.</w:t>
      </w:r>
    </w:p>
    <w:p>
      <w:pPr>
        <w:pStyle w:val="ListParagraph"/>
        <w:numPr>
          <w:ilvl w:val="0"/>
          <w:numId w:val="2"/>
        </w:numPr>
        <w:spacing w:after="100" w:line="300"/>
      </w:pPr>
      <w:r>
        <w:rPr>
          <w:rFonts w:ascii="Calibri" w:cs="Calibri" w:eastAsia="Calibri" w:hAnsi="Calibri"/>
          <w:color w:val="1A1A1A"/>
          <w:sz w:val="22"/>
          <w:szCs w:val="22"/>
        </w:rPr>
        <w:t xml:space="preserve"> Weekly written status updates that non-technical stakeholders can act on.</w:t>
      </w:r>
    </w:p>
    <w:p>
      <w:pPr>
        <w:pStyle w:val="ListParagraph"/>
        <w:numPr>
          <w:ilvl w:val="0"/>
          <w:numId w:val="2"/>
        </w:numPr>
        <w:spacing w:after="100" w:line="300"/>
      </w:pPr>
      <w:r>
        <w:rPr>
          <w:rFonts w:ascii="Calibri" w:cs="Calibri" w:eastAsia="Calibri" w:hAnsi="Calibri"/>
          <w:color w:val="1A1A1A"/>
          <w:sz w:val="22"/>
          <w:szCs w:val="22"/>
        </w:rPr>
        <w:t xml:space="preserve"> Honest estimates — including an honest list of what we chose not to build and why.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24"/>
              <w:left w:val="single" w:color="B45309" w:sz="24"/>
              <w:bottom w:val="single" w:color="B45309" w:sz="4"/>
              <w:right w:val="single" w:color="B45309" w:sz="4"/>
            </w:tcBorders>
            <w:shd w:fill="FFF7E8" w:color="auto" w:val="clear"/>
            <w:tcMar>
              <w:top w:type="dxa" w:w="220"/>
              <w:left w:type="dxa" w:w="260"/>
              <w:bottom w:type="dxa" w:w="220"/>
              <w:right w:type="dxa" w:w="260"/>
            </w:tcMar>
          </w:tcPr>
          <w:p>
            <w:pPr>
              <w:spacing w:after="100"/>
            </w:pPr>
            <w:r>
              <w:rPr>
                <w:rFonts w:ascii="Calibri" w:cs="Calibri" w:eastAsia="Calibri" w:hAnsi="Calibri"/>
                <w:b/>
                <w:bCs/>
                <w:color w:val="B45309"/>
                <w:sz w:val="22"/>
                <w:szCs w:val="22"/>
              </w:rPr>
              <w:t xml:space="preserve">A note on honesty</w:t>
            </w:r>
          </w:p>
          <w:p>
            <w:pPr>
              <w:spacing w:after="0" w:line="300"/>
            </w:pPr>
            <w:r>
              <w:rPr>
                <w:rFonts w:ascii="Calibri" w:cs="Calibri" w:eastAsia="Calibri" w:hAnsi="Calibri"/>
                <w:color w:val="1A1A1A"/>
                <w:sz w:val="22"/>
                <w:szCs w:val="22"/>
              </w:rPr>
              <w:t xml:space="preserve">The case study published alongside this document contains an explicit section listing what we deliberately did not build in the demonstration, and why. We would rather have a slightly shorter demo than one padded with features we would not stand behind. In an engagement, that same honesty is what you can expect from status updates and estimates.</w:t>
            </w:r>
          </w:p>
        </w:tc>
      </w:tr>
    </w:tbl>
    <w:p>
      <w:r>
        <w:br w:type="page"/>
      </w:r>
    </w:p>
    <w:p>
      <w:pPr>
        <w:pStyle w:val="Heading1"/>
        <w:spacing w:after="200" w:before="400"/>
      </w:pPr>
      <w:r>
        <w:rPr>
          <w:rFonts w:ascii="Calibri" w:cs="Calibri" w:eastAsia="Calibri" w:hAnsi="Calibri"/>
          <w:b/>
          <w:bCs/>
          <w:color w:val="0B5FFF"/>
          <w:sz w:val="40"/>
          <w:szCs w:val="40"/>
        </w:rPr>
        <w:t xml:space="preserve">Services</w:t>
      </w:r>
    </w:p>
    <w:p>
      <w:pPr>
        <w:pBdr>
          <w:bottom w:val="single" w:color="D6DCE5" w:sz="6" w:space="1"/>
        </w:pBdr>
        <w:spacing w:after="24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DCE5" w:sz="4"/>
              <w:left w:val="single" w:color="D6DCE5" w:sz="4"/>
              <w:bottom w:val="single" w:color="D6DCE5" w:sz="4"/>
              <w:right w:val="single" w:color="D6DCE5" w:sz="4"/>
            </w:tcBorders>
            <w:shd w:fill="0B5FFF" w:color="auto" w:val="clear"/>
            <w:tcMar>
              <w:top w:type="dxa" w:w="140"/>
              <w:left w:type="dxa" w:w="160"/>
              <w:bottom w:type="dxa" w:w="140"/>
              <w:right w:type="dxa" w:w="160"/>
            </w:tcMar>
            <w:vAlign w:val="center"/>
          </w:tcPr>
          <w:p>
            <w:pPr>
              <w:spacing w:after="0" w:line="280"/>
              <w:jc w:val="left"/>
            </w:pPr>
            <w:r>
              <w:rPr>
                <w:rFonts w:ascii="Calibri" w:cs="Calibri" w:eastAsia="Calibri" w:hAnsi="Calibri"/>
                <w:b/>
                <w:bCs/>
                <w:color w:val="FFFFFF"/>
                <w:sz w:val="20"/>
                <w:szCs w:val="20"/>
              </w:rPr>
              <w:t xml:space="preserve">Service</w:t>
            </w:r>
          </w:p>
        </w:tc>
        <w:tc>
          <w:tcPr>
            <w:tcW w:type="dxa" w:w="6160"/>
            <w:tcBorders>
              <w:top w:val="single" w:color="D6DCE5" w:sz="4"/>
              <w:left w:val="single" w:color="D6DCE5" w:sz="4"/>
              <w:bottom w:val="single" w:color="D6DCE5" w:sz="4"/>
              <w:right w:val="single" w:color="D6DCE5" w:sz="4"/>
            </w:tcBorders>
            <w:shd w:fill="0B5FFF" w:color="auto" w:val="clear"/>
            <w:tcMar>
              <w:top w:type="dxa" w:w="140"/>
              <w:left w:type="dxa" w:w="160"/>
              <w:bottom w:type="dxa" w:w="140"/>
              <w:right w:type="dxa" w:w="160"/>
            </w:tcMar>
            <w:vAlign w:val="center"/>
          </w:tcPr>
          <w:p>
            <w:pPr>
              <w:spacing w:after="0" w:line="280"/>
              <w:jc w:val="left"/>
            </w:pPr>
            <w:r>
              <w:rPr>
                <w:rFonts w:ascii="Calibri" w:cs="Calibri" w:eastAsia="Calibri" w:hAnsi="Calibri"/>
                <w:b/>
                <w:bCs/>
                <w:color w:val="FFFFFF"/>
                <w:sz w:val="20"/>
                <w:szCs w:val="20"/>
              </w:rPr>
              <w:t xml:space="preserve">Typical engagement</w:t>
            </w:r>
          </w:p>
        </w:tc>
      </w:tr>
      <w:tr>
        <w:tc>
          <w:tcPr>
            <w:tcW w:type="dxa" w:w="32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Secure web application build</w:t>
            </w:r>
          </w:p>
        </w:tc>
        <w:tc>
          <w:tcPr>
            <w:tcW w:type="dxa" w:w="616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Design and build a new Laravel + React application from scratch, with your security requirements as a first-class input (not a final-stage review).</w:t>
            </w:r>
          </w:p>
        </w:tc>
      </w:tr>
      <w:tr>
        <w:tc>
          <w:tcPr>
            <w:tcW w:type="dxa" w:w="32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Security hardening</w:t>
            </w:r>
          </w:p>
        </w:tc>
        <w:tc>
          <w:tcPr>
            <w:tcW w:type="dxa" w:w="616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Audit an existing Laravel application against the controls demonstrated in this document, and ship the mitigations as a reviewed series of pull requests.</w:t>
            </w:r>
          </w:p>
        </w:tc>
      </w:tr>
      <w:tr>
        <w:tc>
          <w:tcPr>
            <w:tcW w:type="dxa" w:w="32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Multi-tenancy retrofit</w:t>
            </w:r>
          </w:p>
        </w:tc>
        <w:tc>
          <w:tcPr>
            <w:tcW w:type="dxa" w:w="616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Introduce proper tenant isolation into an application that was not originally designed for it, with before-and-after regression tests.</w:t>
            </w:r>
          </w:p>
        </w:tc>
      </w:tr>
      <w:tr>
        <w:tc>
          <w:tcPr>
            <w:tcW w:type="dxa" w:w="32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Incident-response tooling</w:t>
            </w:r>
          </w:p>
        </w:tc>
        <w:tc>
          <w:tcPr>
            <w:tcW w:type="dxa" w:w="616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Build client-facing incident reporting and SLA-tracking workflows that mirror ISO/IEC 27035, with the audit trail your compliance team needs.</w:t>
            </w:r>
          </w:p>
        </w:tc>
      </w:tr>
      <w:tr>
        <w:tc>
          <w:tcPr>
            <w:tcW w:type="dxa" w:w="32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Code review on retainer</w:t>
            </w:r>
          </w:p>
        </w:tc>
        <w:tc>
          <w:tcPr>
            <w:tcW w:type="dxa" w:w="616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Act as a senior reviewer for your in-house team's pull requests, with a focus on correctness, security and long-term maintainability.</w:t>
            </w:r>
          </w:p>
        </w:tc>
      </w:tr>
      <w:tr>
        <w:tc>
          <w:tcPr>
            <w:tcW w:type="dxa" w:w="32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Due-diligence assessments</w:t>
            </w:r>
          </w:p>
        </w:tc>
        <w:tc>
          <w:tcPr>
            <w:tcW w:type="dxa" w:w="616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Independent review of a vendor's or an acquisition target's codebase, with a written report your leadership can act on.</w:t>
            </w:r>
          </w:p>
        </w:tc>
      </w:tr>
    </w:tbl>
    <w:p>
      <w:r>
        <w:br w:type="page"/>
      </w:r>
    </w:p>
    <w:p>
      <w:pPr>
        <w:pStyle w:val="Heading1"/>
        <w:spacing w:after="200" w:before="400"/>
      </w:pPr>
      <w:r>
        <w:rPr>
          <w:rFonts w:ascii="Calibri" w:cs="Calibri" w:eastAsia="Calibri" w:hAnsi="Calibri"/>
          <w:b/>
          <w:bCs/>
          <w:color w:val="0B5FFF"/>
          <w:sz w:val="40"/>
          <w:szCs w:val="40"/>
        </w:rPr>
        <w:t xml:space="preserve">Next Steps</w:t>
      </w:r>
    </w:p>
    <w:p>
      <w:pPr>
        <w:pBdr>
          <w:bottom w:val="single" w:color="D6DCE5" w:sz="6" w:space="1"/>
        </w:pBdr>
        <w:spacing w:after="240" w:before="100"/>
      </w:pPr>
      <w:r>
        <w:t xml:space="preserve"/>
      </w:r>
    </w:p>
    <w:p>
      <w:pPr>
        <w:spacing w:after="120" w:line="300"/>
      </w:pPr>
      <w:r>
        <w:rPr>
          <w:rFonts w:ascii="Calibri" w:cs="Calibri" w:eastAsia="Calibri" w:hAnsi="Calibri"/>
          <w:color w:val="1A1A1A"/>
          <w:sz w:val="22"/>
          <w:szCs w:val="22"/>
        </w:rPr>
        <w:t xml:space="preserve">The quickest way to evaluate the fit is to open the public repository and read any part of it that interests you. Everything in this document is traceable to code, tests and pull requests.</w:t>
      </w:r>
    </w:p>
    <w:p>
      <w:pPr>
        <w:spacing w:after="80"/>
      </w:pPr>
      <w:r>
        <w:t xml:space="preserve"/>
      </w:r>
    </w:p>
    <w:p>
      <w:pPr>
        <w:pStyle w:val="Heading3"/>
        <w:spacing w:after="160" w:before="300"/>
      </w:pPr>
      <w:r>
        <w:rPr>
          <w:rFonts w:ascii="Calibri" w:cs="Calibri" w:eastAsia="Calibri" w:hAnsi="Calibri"/>
          <w:b/>
          <w:bCs/>
          <w:color w:val="1A1A1A"/>
          <w:sz w:val="24"/>
          <w:szCs w:val="24"/>
        </w:rPr>
        <w:t xml:space="preserve">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6DCE5" w:sz="4"/>
              <w:left w:val="single" w:color="D6DCE5" w:sz="4"/>
              <w:bottom w:val="single" w:color="D6DCE5" w:sz="4"/>
              <w:right w:val="single" w:color="D6DCE5" w:sz="4"/>
            </w:tcBorders>
            <w:shd w:fill="0B5FFF" w:color="auto" w:val="clear"/>
            <w:tcMar>
              <w:top w:type="dxa" w:w="140"/>
              <w:left w:type="dxa" w:w="160"/>
              <w:bottom w:type="dxa" w:w="140"/>
              <w:right w:type="dxa" w:w="160"/>
            </w:tcMar>
            <w:vAlign w:val="center"/>
          </w:tcPr>
          <w:p>
            <w:pPr>
              <w:spacing w:after="0" w:line="280"/>
              <w:jc w:val="left"/>
            </w:pPr>
            <w:r>
              <w:rPr>
                <w:rFonts w:ascii="Calibri" w:cs="Calibri" w:eastAsia="Calibri" w:hAnsi="Calibri"/>
                <w:b/>
                <w:bCs/>
                <w:color w:val="FFFFFF"/>
                <w:sz w:val="20"/>
                <w:szCs w:val="20"/>
              </w:rPr>
              <w:t xml:space="preserve">Resource</w:t>
            </w:r>
          </w:p>
        </w:tc>
        <w:tc>
          <w:tcPr>
            <w:tcW w:type="dxa" w:w="5760"/>
            <w:tcBorders>
              <w:top w:val="single" w:color="D6DCE5" w:sz="4"/>
              <w:left w:val="single" w:color="D6DCE5" w:sz="4"/>
              <w:bottom w:val="single" w:color="D6DCE5" w:sz="4"/>
              <w:right w:val="single" w:color="D6DCE5" w:sz="4"/>
            </w:tcBorders>
            <w:shd w:fill="0B5FFF" w:color="auto" w:val="clear"/>
            <w:tcMar>
              <w:top w:type="dxa" w:w="140"/>
              <w:left w:type="dxa" w:w="160"/>
              <w:bottom w:type="dxa" w:w="140"/>
              <w:right w:type="dxa" w:w="160"/>
            </w:tcMar>
            <w:vAlign w:val="center"/>
          </w:tcPr>
          <w:p>
            <w:pPr>
              <w:spacing w:after="0" w:line="280"/>
              <w:jc w:val="left"/>
            </w:pPr>
            <w:r>
              <w:rPr>
                <w:rFonts w:ascii="Calibri" w:cs="Calibri" w:eastAsia="Calibri" w:hAnsi="Calibri"/>
                <w:b/>
                <w:bCs/>
                <w:color w:val="FFFFFF"/>
                <w:sz w:val="20"/>
                <w:szCs w:val="20"/>
              </w:rPr>
              <w:t xml:space="preserve">Link</w:t>
            </w:r>
          </w:p>
        </w:tc>
      </w:tr>
      <w:tr>
        <w:tc>
          <w:tcPr>
            <w:tcW w:type="dxa" w:w="36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Public repository</w:t>
            </w:r>
          </w:p>
        </w:tc>
        <w:tc>
          <w:tcPr>
            <w:tcW w:type="dxa" w:w="576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github.com/tpjigar/crm-code-demo</w:t>
            </w:r>
          </w:p>
        </w:tc>
      </w:tr>
      <w:tr>
        <w:tc>
          <w:tcPr>
            <w:tcW w:type="dxa" w:w="36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Published release</w:t>
            </w:r>
          </w:p>
        </w:tc>
        <w:tc>
          <w:tcPr>
            <w:tcW w:type="dxa" w:w="576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github.com/tpjigar/crm-code-demo/releases/tag/v1.0.0</w:t>
            </w:r>
          </w:p>
        </w:tc>
      </w:tr>
      <w:tr>
        <w:tc>
          <w:tcPr>
            <w:tcW w:type="dxa" w:w="360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Case study (engineering walkthrough)</w:t>
            </w:r>
          </w:p>
        </w:tc>
        <w:tc>
          <w:tcPr>
            <w:tcW w:type="dxa" w:w="5760"/>
            <w:tcBorders>
              <w:top w:val="single" w:color="D6DCE5" w:sz="4"/>
              <w:left w:val="single" w:color="D6DCE5" w:sz="4"/>
              <w:bottom w:val="single" w:color="D6DCE5" w:sz="4"/>
              <w:right w:val="single" w:color="D6DCE5" w:sz="4"/>
            </w:tcBorders>
            <w:shd w:fill="F3F6FB" w:color="auto" w:val="clear"/>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docs/CASE_STUDY.md in the repository</w:t>
            </w:r>
          </w:p>
        </w:tc>
      </w:tr>
      <w:tr>
        <w:tc>
          <w:tcPr>
            <w:tcW w:type="dxa" w:w="360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Pull request history (26 merged)</w:t>
            </w:r>
          </w:p>
        </w:tc>
        <w:tc>
          <w:tcPr>
            <w:tcW w:type="dxa" w:w="5760"/>
            <w:tcBorders>
              <w:top w:val="single" w:color="D6DCE5" w:sz="4"/>
              <w:left w:val="single" w:color="D6DCE5" w:sz="4"/>
              <w:bottom w:val="single" w:color="D6DCE5" w:sz="4"/>
              <w:right w:val="single" w:color="D6DCE5" w:sz="4"/>
            </w:tcBorders>
            <w:tcMar>
              <w:top w:type="dxa" w:w="140"/>
              <w:left w:type="dxa" w:w="160"/>
              <w:bottom w:type="dxa" w:w="140"/>
              <w:right w:type="dxa" w:w="160"/>
            </w:tcMar>
            <w:vAlign w:val="center"/>
          </w:tcPr>
          <w:p>
            <w:pPr>
              <w:spacing w:after="0" w:line="280"/>
              <w:jc w:val="left"/>
            </w:pPr>
            <w:r>
              <w:rPr>
                <w:rFonts w:ascii="Calibri" w:cs="Calibri" w:eastAsia="Calibri" w:hAnsi="Calibri"/>
                <w:b w:val="false"/>
                <w:bCs w:val="false"/>
                <w:color w:val="1A1A1A"/>
                <w:sz w:val="20"/>
                <w:szCs w:val="20"/>
              </w:rPr>
              <w:t xml:space="preserve">github.com/tpjigar/crm-code-demo/pulls?q=is%3Apr+is%3Amerged</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5FFF" w:sz="24"/>
              <w:left w:val="single" w:color="0B5FFF" w:sz="24"/>
              <w:bottom w:val="single" w:color="0B5FFF" w:sz="4"/>
              <w:right w:val="single" w:color="0B5FFF" w:sz="4"/>
            </w:tcBorders>
            <w:shd w:fill="F3F6FB" w:color="auto" w:val="clear"/>
            <w:tcMar>
              <w:top w:type="dxa" w:w="220"/>
              <w:left w:type="dxa" w:w="260"/>
              <w:bottom w:type="dxa" w:w="220"/>
              <w:right w:type="dxa" w:w="260"/>
            </w:tcMar>
          </w:tcPr>
          <w:p>
            <w:pPr>
              <w:spacing w:after="100"/>
            </w:pPr>
            <w:r>
              <w:rPr>
                <w:rFonts w:ascii="Calibri" w:cs="Calibri" w:eastAsia="Calibri" w:hAnsi="Calibri"/>
                <w:b/>
                <w:bCs/>
                <w:color w:val="0B5FFF"/>
                <w:sz w:val="22"/>
                <w:szCs w:val="22"/>
              </w:rPr>
              <w:t xml:space="preserve">Ready to talk?</w:t>
            </w:r>
          </w:p>
          <w:p>
            <w:pPr>
              <w:spacing w:after="0" w:line="300"/>
            </w:pPr>
            <w:r>
              <w:rPr>
                <w:rFonts w:ascii="Calibri" w:cs="Calibri" w:eastAsia="Calibri" w:hAnsi="Calibri"/>
                <w:color w:val="1A1A1A"/>
                <w:sz w:val="22"/>
                <w:szCs w:val="22"/>
              </w:rPr>
              <w:t xml:space="preserve">Email tp.jigar@gmail.com to arrange a 30-minute walkthrough call. We will take you through any module in the repository you want to see in depth, and answer any questions a security-conscious reviewer would ask. There is no obligation.</w:t>
            </w:r>
          </w:p>
        </w:tc>
      </w:tr>
    </w:tbl>
    <w:p>
      <w:pPr>
        <w:spacing w:after="200"/>
      </w:pPr>
      <w:r>
        <w:t xml:space="preserve"/>
      </w:r>
    </w:p>
    <w:p>
      <w:pPr>
        <w:spacing w:after="60"/>
        <w:jc w:val="center"/>
      </w:pPr>
      <w:r>
        <w:rPr>
          <w:rFonts w:ascii="Calibri" w:cs="Calibri" w:eastAsia="Calibri" w:hAnsi="Calibri"/>
          <w:b/>
          <w:bCs/>
          <w:color w:val="1A1A1A"/>
          <w:sz w:val="28"/>
          <w:szCs w:val="28"/>
        </w:rPr>
        <w:t xml:space="preserve">Jigar Patel</w:t>
      </w:r>
    </w:p>
    <w:p>
      <w:pPr>
        <w:spacing w:after="40"/>
        <w:jc w:val="center"/>
      </w:pPr>
      <w:r>
        <w:rPr>
          <w:rFonts w:ascii="Calibri" w:cs="Calibri" w:eastAsia="Calibri" w:hAnsi="Calibri"/>
          <w:color w:val="0B5FFF"/>
          <w:sz w:val="22"/>
          <w:szCs w:val="22"/>
        </w:rPr>
        <w:t xml:space="preserve">tp.jigar@gmail.com</w:t>
      </w:r>
    </w:p>
    <w:p>
      <w:pPr>
        <w:spacing w:after="0"/>
        <w:jc w:val="center"/>
      </w:pPr>
      <w:r>
        <w:rPr>
          <w:rFonts w:ascii="Calibri" w:cs="Calibri" w:eastAsia="Calibri" w:hAnsi="Calibri"/>
          <w:color w:val="0B5FFF"/>
          <w:sz w:val="22"/>
          <w:szCs w:val="22"/>
        </w:rPr>
        <w:t xml:space="preserve">github.com/tpjigar</w:t>
      </w:r>
    </w:p>
    <w:sectPr>
      <w:pgSz w:w="12240" w:h="15840"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 Code Demo — Engineering Showcase</dc:title>
  <dc:creator>Jigar Patel</dc:creator>
  <dc:description>Client-facing portfolio document for the CRM Code Demo repository.</dc:description>
  <cp:lastModifiedBy>Un-named</cp:lastModifiedBy>
  <cp:revision>1</cp:revision>
  <dcterms:created xsi:type="dcterms:W3CDTF">2026-10-03T04:04:35.934Z</dcterms:created>
  <dcterms:modified xsi:type="dcterms:W3CDTF">2026-10-03T04:04:35.935Z</dcterms:modified>
</cp:coreProperties>
</file>

<file path=docProps/custom.xml><?xml version="1.0" encoding="utf-8"?>
<Properties xmlns="http://schemas.openxmlformats.org/officeDocument/2006/custom-properties" xmlns:vt="http://schemas.openxmlformats.org/officeDocument/2006/docPropsVTypes"/>
</file>