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DF" w:rsidRPr="00CC422E" w:rsidRDefault="003470DF" w:rsidP="003470DF">
      <w:pPr>
        <w:ind w:left="829" w:hanging="140"/>
        <w:rPr>
          <w:rFonts w:ascii="標楷體" w:eastAsia="標楷體" w:hAnsi="標楷體"/>
          <w:b/>
          <w:bCs/>
          <w:spacing w:val="-12"/>
          <w:sz w:val="32"/>
          <w:szCs w:val="32"/>
        </w:rPr>
      </w:pPr>
      <w:r>
        <w:rPr>
          <w:rFonts w:hAnsi="標楷體" w:hint="eastAsia"/>
          <w:sz w:val="28"/>
          <w:szCs w:val="28"/>
        </w:rPr>
        <w:t xml:space="preserve">  </w:t>
      </w:r>
      <w:r w:rsidRPr="00CC422E">
        <w:rPr>
          <w:rFonts w:ascii="標楷體" w:eastAsia="標楷體" w:hAnsi="標楷體" w:hint="eastAsia"/>
          <w:b/>
          <w:sz w:val="32"/>
          <w:szCs w:val="32"/>
        </w:rPr>
        <w:t>項次5  便民有感-多元</w:t>
      </w:r>
      <w:r w:rsidRPr="00CC422E">
        <w:rPr>
          <w:rFonts w:ascii="標楷體" w:eastAsia="標楷體" w:hAnsi="標楷體" w:hint="eastAsia"/>
          <w:b/>
          <w:spacing w:val="-12"/>
          <w:sz w:val="32"/>
          <w:szCs w:val="32"/>
        </w:rPr>
        <w:t>繳款之緣起與發展</w:t>
      </w:r>
      <w:r>
        <w:rPr>
          <w:rFonts w:ascii="標楷體" w:eastAsia="標楷體" w:hAnsi="標楷體" w:hint="eastAsia"/>
          <w:b/>
          <w:spacing w:val="-12"/>
          <w:sz w:val="32"/>
          <w:szCs w:val="32"/>
        </w:rPr>
        <w:t>(</w:t>
      </w:r>
      <w:proofErr w:type="gramStart"/>
      <w:r>
        <w:rPr>
          <w:rFonts w:ascii="標楷體" w:eastAsia="標楷體" w:hAnsi="標楷體" w:hint="eastAsia"/>
          <w:b/>
          <w:spacing w:val="-12"/>
          <w:sz w:val="32"/>
          <w:szCs w:val="32"/>
        </w:rPr>
        <w:t>展板</w:t>
      </w:r>
      <w:proofErr w:type="gramEnd"/>
      <w:r>
        <w:rPr>
          <w:rFonts w:ascii="標楷體" w:eastAsia="標楷體" w:hAnsi="標楷體" w:hint="eastAsia"/>
          <w:b/>
          <w:spacing w:val="-12"/>
          <w:sz w:val="32"/>
          <w:szCs w:val="32"/>
        </w:rPr>
        <w:t>2)</w:t>
      </w:r>
    </w:p>
    <w:p w:rsidR="003470DF" w:rsidRPr="003470DF" w:rsidRDefault="003470DF" w:rsidP="003470DF">
      <w:pPr>
        <w:pStyle w:val="2"/>
        <w:numPr>
          <w:ilvl w:val="0"/>
          <w:numId w:val="0"/>
        </w:numPr>
        <w:ind w:leftChars="-141" w:left="1070" w:hangingChars="503" w:hanging="1408"/>
        <w:rPr>
          <w:rFonts w:hAnsi="標楷體"/>
          <w:sz w:val="28"/>
          <w:szCs w:val="28"/>
        </w:rPr>
      </w:pPr>
    </w:p>
    <w:p w:rsidR="003470DF" w:rsidRPr="006B12B5" w:rsidRDefault="003470DF" w:rsidP="003470DF">
      <w:pPr>
        <w:pStyle w:val="2"/>
        <w:numPr>
          <w:ilvl w:val="0"/>
          <w:numId w:val="0"/>
        </w:numPr>
        <w:ind w:leftChars="-141" w:left="1070" w:hangingChars="503" w:hanging="1408"/>
        <w:rPr>
          <w:rFonts w:hAnsi="標楷體"/>
          <w:b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</w:t>
      </w:r>
      <w:r w:rsidRPr="006B12B5">
        <w:rPr>
          <w:rFonts w:hAnsi="標楷體" w:hint="eastAsia"/>
          <w:sz w:val="28"/>
          <w:szCs w:val="28"/>
        </w:rPr>
        <w:t>二、</w:t>
      </w:r>
      <w:r w:rsidRPr="006B12B5">
        <w:rPr>
          <w:rFonts w:hAnsi="標楷體" w:hint="eastAsia"/>
          <w:b/>
          <w:sz w:val="28"/>
          <w:szCs w:val="28"/>
        </w:rPr>
        <w:t>實施進程</w:t>
      </w:r>
    </w:p>
    <w:p w:rsidR="003470DF" w:rsidRDefault="003470DF" w:rsidP="003470DF">
      <w:pPr>
        <w:pStyle w:val="2"/>
        <w:numPr>
          <w:ilvl w:val="0"/>
          <w:numId w:val="0"/>
        </w:numPr>
        <w:ind w:leftChars="-140" w:left="1316" w:hangingChars="590" w:hanging="1652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  （一）國稅及地方稅案件：</w:t>
      </w:r>
    </w:p>
    <w:p w:rsidR="003470DF" w:rsidRPr="00FA128C" w:rsidRDefault="003470DF" w:rsidP="005C03BC">
      <w:pPr>
        <w:pStyle w:val="2"/>
        <w:numPr>
          <w:ilvl w:val="0"/>
          <w:numId w:val="0"/>
        </w:numPr>
        <w:ind w:leftChars="295" w:left="1132" w:hanging="424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</w:t>
      </w:r>
      <w:r w:rsidR="005C03BC">
        <w:rPr>
          <w:rFonts w:hAnsi="標楷體" w:hint="eastAsia"/>
          <w:sz w:val="28"/>
          <w:szCs w:val="28"/>
        </w:rPr>
        <w:t xml:space="preserve">  </w:t>
      </w:r>
      <w:r w:rsidRPr="00FA128C">
        <w:rPr>
          <w:rFonts w:hAnsi="標楷體" w:hint="eastAsia"/>
          <w:sz w:val="28"/>
          <w:szCs w:val="28"/>
        </w:rPr>
        <w:t>自</w:t>
      </w:r>
      <w:r w:rsidRPr="00FA128C">
        <w:rPr>
          <w:rFonts w:hAnsi="標楷體"/>
          <w:sz w:val="28"/>
          <w:szCs w:val="28"/>
        </w:rPr>
        <w:t>97</w:t>
      </w:r>
      <w:r w:rsidRPr="00FA128C">
        <w:rPr>
          <w:rFonts w:hAnsi="標楷體" w:hint="eastAsia"/>
          <w:sz w:val="28"/>
          <w:szCs w:val="28"/>
        </w:rPr>
        <w:t>年</w:t>
      </w:r>
      <w:r w:rsidRPr="00FA128C">
        <w:rPr>
          <w:rFonts w:hAnsi="標楷體"/>
          <w:sz w:val="28"/>
          <w:szCs w:val="28"/>
        </w:rPr>
        <w:t>6</w:t>
      </w:r>
      <w:r w:rsidRPr="00FA128C">
        <w:rPr>
          <w:rFonts w:hAnsi="標楷體" w:hint="eastAsia"/>
          <w:sz w:val="28"/>
          <w:szCs w:val="28"/>
        </w:rPr>
        <w:t>月</w:t>
      </w:r>
      <w:r w:rsidRPr="00FA128C">
        <w:rPr>
          <w:rFonts w:hAnsi="標楷體"/>
          <w:sz w:val="28"/>
          <w:szCs w:val="28"/>
        </w:rPr>
        <w:t>1</w:t>
      </w:r>
      <w:r w:rsidRPr="00FA128C">
        <w:rPr>
          <w:rFonts w:hAnsi="標楷體" w:hint="eastAsia"/>
          <w:sz w:val="28"/>
          <w:szCs w:val="28"/>
        </w:rPr>
        <w:t>日起，</w:t>
      </w:r>
      <w:proofErr w:type="gramStart"/>
      <w:r w:rsidRPr="00FA128C">
        <w:rPr>
          <w:rFonts w:hAnsi="標楷體" w:hint="eastAsia"/>
          <w:sz w:val="28"/>
          <w:szCs w:val="28"/>
        </w:rPr>
        <w:t>凡</w:t>
      </w:r>
      <w:r>
        <w:rPr>
          <w:rFonts w:hAnsi="標楷體" w:hint="eastAsia"/>
          <w:sz w:val="28"/>
          <w:szCs w:val="28"/>
        </w:rPr>
        <w:t>滯納</w:t>
      </w:r>
      <w:proofErr w:type="gramEnd"/>
      <w:r w:rsidRPr="00FA128C">
        <w:rPr>
          <w:rFonts w:hAnsi="標楷體" w:hint="eastAsia"/>
          <w:sz w:val="28"/>
          <w:szCs w:val="28"/>
        </w:rPr>
        <w:t>未</w:t>
      </w:r>
      <w:r>
        <w:rPr>
          <w:rFonts w:hAnsi="標楷體" w:hint="eastAsia"/>
          <w:sz w:val="28"/>
          <w:szCs w:val="28"/>
        </w:rPr>
        <w:t>滿</w:t>
      </w:r>
      <w:r w:rsidRPr="00FA128C">
        <w:rPr>
          <w:rFonts w:hAnsi="標楷體"/>
          <w:sz w:val="28"/>
          <w:szCs w:val="28"/>
        </w:rPr>
        <w:t>2</w:t>
      </w:r>
      <w:r w:rsidRPr="00FA128C">
        <w:rPr>
          <w:rFonts w:hAnsi="標楷體" w:hint="eastAsia"/>
          <w:sz w:val="28"/>
          <w:szCs w:val="28"/>
        </w:rPr>
        <w:t>萬元之綜合所得稅、營業稅及各種地方稅等稅捐案件，義務人可持各分署</w:t>
      </w:r>
      <w:proofErr w:type="gramStart"/>
      <w:r w:rsidRPr="00FA128C">
        <w:rPr>
          <w:rFonts w:hAnsi="標楷體" w:hint="eastAsia"/>
          <w:sz w:val="28"/>
          <w:szCs w:val="28"/>
        </w:rPr>
        <w:t>寄發印有</w:t>
      </w:r>
      <w:proofErr w:type="gramEnd"/>
      <w:r w:rsidRPr="00FA128C">
        <w:rPr>
          <w:rFonts w:hAnsi="標楷體" w:hint="eastAsia"/>
          <w:sz w:val="28"/>
          <w:szCs w:val="28"/>
        </w:rPr>
        <w:t>條碼</w:t>
      </w:r>
      <w:proofErr w:type="gramStart"/>
      <w:r w:rsidRPr="00FA128C">
        <w:rPr>
          <w:rFonts w:hAnsi="標楷體" w:hint="eastAsia"/>
          <w:sz w:val="28"/>
          <w:szCs w:val="28"/>
        </w:rPr>
        <w:t>之傳繳通知書</w:t>
      </w:r>
      <w:proofErr w:type="gramEnd"/>
      <w:r w:rsidRPr="00FA128C">
        <w:rPr>
          <w:rFonts w:hAnsi="標楷體" w:hint="eastAsia"/>
          <w:sz w:val="28"/>
          <w:szCs w:val="28"/>
        </w:rPr>
        <w:t>，</w:t>
      </w:r>
      <w:proofErr w:type="gramStart"/>
      <w:r w:rsidRPr="00FA128C">
        <w:rPr>
          <w:rFonts w:hAnsi="標楷體" w:hint="eastAsia"/>
          <w:sz w:val="28"/>
          <w:szCs w:val="28"/>
        </w:rPr>
        <w:t>於傳繳</w:t>
      </w:r>
      <w:proofErr w:type="gramEnd"/>
      <w:r w:rsidRPr="00FA128C">
        <w:rPr>
          <w:rFonts w:hAnsi="標楷體" w:hint="eastAsia"/>
          <w:sz w:val="28"/>
          <w:szCs w:val="28"/>
        </w:rPr>
        <w:t>通知書所載期限內至全國各地之統一、全家、</w:t>
      </w:r>
      <w:proofErr w:type="gramStart"/>
      <w:r w:rsidRPr="00FA128C">
        <w:rPr>
          <w:rFonts w:hAnsi="標楷體" w:hint="eastAsia"/>
          <w:sz w:val="28"/>
          <w:szCs w:val="28"/>
        </w:rPr>
        <w:t>萊</w:t>
      </w:r>
      <w:proofErr w:type="gramEnd"/>
      <w:r w:rsidRPr="00FA128C">
        <w:rPr>
          <w:rFonts w:hAnsi="標楷體" w:hint="eastAsia"/>
          <w:sz w:val="28"/>
          <w:szCs w:val="28"/>
        </w:rPr>
        <w:t>爾富及來來</w:t>
      </w:r>
      <w:r>
        <w:rPr>
          <w:rFonts w:hAnsi="標楷體" w:hint="eastAsia"/>
          <w:sz w:val="28"/>
          <w:szCs w:val="28"/>
        </w:rPr>
        <w:t>（</w:t>
      </w:r>
      <w:r w:rsidRPr="00FA128C">
        <w:rPr>
          <w:rFonts w:hAnsi="標楷體"/>
          <w:sz w:val="28"/>
          <w:szCs w:val="28"/>
        </w:rPr>
        <w:t>OK</w:t>
      </w:r>
      <w:r>
        <w:rPr>
          <w:rFonts w:hAnsi="標楷體" w:hint="eastAsia"/>
          <w:sz w:val="28"/>
          <w:szCs w:val="28"/>
        </w:rPr>
        <w:t>）</w:t>
      </w:r>
      <w:r w:rsidRPr="00FA128C">
        <w:rPr>
          <w:rFonts w:hAnsi="標楷體" w:hint="eastAsia"/>
          <w:sz w:val="28"/>
          <w:szCs w:val="28"/>
        </w:rPr>
        <w:t>四大便利商店</w:t>
      </w:r>
      <w:r>
        <w:rPr>
          <w:rFonts w:hAnsi="標楷體" w:hint="eastAsia"/>
          <w:sz w:val="28"/>
          <w:szCs w:val="28"/>
        </w:rPr>
        <w:t>（以下合稱四大超商）</w:t>
      </w:r>
      <w:r w:rsidRPr="00FA128C">
        <w:rPr>
          <w:rFonts w:hAnsi="標楷體" w:hint="eastAsia"/>
          <w:sz w:val="28"/>
          <w:szCs w:val="28"/>
        </w:rPr>
        <w:t>門市繳費。於100年1月份起增加營利事業所得稅、遺產稅、贈與稅、貨物稅、期貨交易稅、證券交易稅、菸酒稅等</w:t>
      </w:r>
      <w:r w:rsidRPr="00FA128C">
        <w:rPr>
          <w:rFonts w:hAnsi="標楷體"/>
          <w:sz w:val="28"/>
          <w:szCs w:val="28"/>
        </w:rPr>
        <w:t>7</w:t>
      </w:r>
      <w:r w:rsidRPr="00FA128C">
        <w:rPr>
          <w:rFonts w:hAnsi="標楷體" w:hint="eastAsia"/>
          <w:sz w:val="28"/>
          <w:szCs w:val="28"/>
        </w:rPr>
        <w:t>種稅目，至此所有國稅及地方稅欠繳金額未達2萬元之案件，</w:t>
      </w:r>
      <w:proofErr w:type="gramStart"/>
      <w:r w:rsidRPr="00FA128C">
        <w:rPr>
          <w:rFonts w:hAnsi="標楷體" w:hint="eastAsia"/>
          <w:sz w:val="28"/>
          <w:szCs w:val="28"/>
        </w:rPr>
        <w:t>均得於</w:t>
      </w:r>
      <w:proofErr w:type="gramEnd"/>
      <w:r w:rsidRPr="00FA128C">
        <w:rPr>
          <w:rFonts w:hAnsi="標楷體" w:hint="eastAsia"/>
          <w:sz w:val="28"/>
          <w:szCs w:val="28"/>
        </w:rPr>
        <w:t>四大</w:t>
      </w:r>
      <w:r>
        <w:rPr>
          <w:rFonts w:hAnsi="標楷體" w:hint="eastAsia"/>
          <w:sz w:val="28"/>
          <w:szCs w:val="28"/>
        </w:rPr>
        <w:t>超</w:t>
      </w:r>
      <w:r w:rsidRPr="00FA128C">
        <w:rPr>
          <w:rFonts w:hAnsi="標楷體" w:hint="eastAsia"/>
          <w:sz w:val="28"/>
          <w:szCs w:val="28"/>
        </w:rPr>
        <w:t>商</w:t>
      </w:r>
      <w:r>
        <w:rPr>
          <w:rFonts w:hAnsi="標楷體" w:hint="eastAsia"/>
          <w:sz w:val="28"/>
          <w:szCs w:val="28"/>
        </w:rPr>
        <w:t>門市</w:t>
      </w:r>
      <w:r w:rsidRPr="00FA128C">
        <w:rPr>
          <w:rFonts w:hAnsi="標楷體" w:hint="eastAsia"/>
          <w:sz w:val="28"/>
          <w:szCs w:val="28"/>
        </w:rPr>
        <w:t>進行繳款</w:t>
      </w:r>
      <w:r>
        <w:rPr>
          <w:rFonts w:hAnsi="標楷體" w:hint="eastAsia"/>
          <w:sz w:val="28"/>
          <w:szCs w:val="28"/>
        </w:rPr>
        <w:t>。</w:t>
      </w:r>
    </w:p>
    <w:p w:rsidR="003470DF" w:rsidRDefault="003470DF" w:rsidP="003470DF">
      <w:pPr>
        <w:pStyle w:val="2"/>
        <w:numPr>
          <w:ilvl w:val="0"/>
          <w:numId w:val="0"/>
        </w:numPr>
        <w:ind w:leftChars="-95" w:left="1298" w:hangingChars="545" w:hanging="1526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 （二）</w:t>
      </w:r>
      <w:r w:rsidRPr="00FA128C">
        <w:rPr>
          <w:rFonts w:hAnsi="標楷體" w:hint="eastAsia"/>
          <w:sz w:val="28"/>
          <w:szCs w:val="28"/>
        </w:rPr>
        <w:t>汽車使用燃料費及其衍生之罰鍰</w:t>
      </w:r>
      <w:r>
        <w:rPr>
          <w:rFonts w:hAnsi="標楷體" w:hint="eastAsia"/>
          <w:sz w:val="28"/>
          <w:szCs w:val="28"/>
        </w:rPr>
        <w:t>案件：</w:t>
      </w:r>
    </w:p>
    <w:p w:rsidR="003470DF" w:rsidRDefault="003470DF" w:rsidP="005C03BC">
      <w:pPr>
        <w:pStyle w:val="2"/>
        <w:numPr>
          <w:ilvl w:val="0"/>
          <w:numId w:val="0"/>
        </w:numPr>
        <w:ind w:leftChars="-95" w:left="1133" w:hangingChars="486" w:hanging="1361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      </w:t>
      </w:r>
      <w:r w:rsidR="005C03BC">
        <w:rPr>
          <w:rFonts w:hAnsi="標楷體" w:hint="eastAsia"/>
          <w:sz w:val="28"/>
          <w:szCs w:val="28"/>
        </w:rPr>
        <w:t xml:space="preserve"> </w:t>
      </w:r>
      <w:r w:rsidRPr="00FA128C">
        <w:rPr>
          <w:rFonts w:hAnsi="標楷體" w:hint="eastAsia"/>
          <w:sz w:val="28"/>
          <w:szCs w:val="28"/>
        </w:rPr>
        <w:t>自99年7月1日</w:t>
      </w:r>
      <w:r>
        <w:rPr>
          <w:rFonts w:hAnsi="標楷體" w:hint="eastAsia"/>
          <w:sz w:val="28"/>
          <w:szCs w:val="28"/>
        </w:rPr>
        <w:t>起，委由四大超商及郵局代</w:t>
      </w:r>
      <w:proofErr w:type="gramStart"/>
      <w:r>
        <w:rPr>
          <w:rFonts w:hAnsi="標楷體" w:hint="eastAsia"/>
          <w:sz w:val="28"/>
          <w:szCs w:val="28"/>
        </w:rPr>
        <w:t>收滯欠</w:t>
      </w:r>
      <w:proofErr w:type="gramEnd"/>
      <w:r>
        <w:rPr>
          <w:rFonts w:hAnsi="標楷體" w:hint="eastAsia"/>
          <w:sz w:val="28"/>
          <w:szCs w:val="28"/>
        </w:rPr>
        <w:t>金額未滿2萬元之該類案件。</w:t>
      </w:r>
    </w:p>
    <w:p w:rsidR="003470DF" w:rsidRDefault="003470DF" w:rsidP="003470DF">
      <w:pPr>
        <w:pStyle w:val="2"/>
        <w:numPr>
          <w:ilvl w:val="0"/>
          <w:numId w:val="0"/>
        </w:numPr>
        <w:ind w:leftChars="-95" w:left="1298" w:hangingChars="545" w:hanging="1526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 （三）</w:t>
      </w:r>
      <w:r w:rsidRPr="00FA128C">
        <w:rPr>
          <w:rFonts w:hAnsi="標楷體" w:hint="eastAsia"/>
          <w:sz w:val="28"/>
          <w:szCs w:val="28"/>
        </w:rPr>
        <w:t>全民健</w:t>
      </w:r>
      <w:r>
        <w:rPr>
          <w:rFonts w:hAnsi="標楷體" w:hint="eastAsia"/>
          <w:sz w:val="28"/>
          <w:szCs w:val="28"/>
        </w:rPr>
        <w:t>康</w:t>
      </w:r>
      <w:r w:rsidRPr="00FA128C">
        <w:rPr>
          <w:rFonts w:hAnsi="標楷體" w:hint="eastAsia"/>
          <w:sz w:val="28"/>
          <w:szCs w:val="28"/>
        </w:rPr>
        <w:t>保</w:t>
      </w:r>
      <w:r>
        <w:rPr>
          <w:rFonts w:hAnsi="標楷體" w:hint="eastAsia"/>
          <w:sz w:val="28"/>
          <w:szCs w:val="28"/>
        </w:rPr>
        <w:t>險</w:t>
      </w:r>
      <w:r w:rsidRPr="00FA128C">
        <w:rPr>
          <w:rFonts w:hAnsi="標楷體" w:hint="eastAsia"/>
          <w:sz w:val="28"/>
          <w:szCs w:val="28"/>
        </w:rPr>
        <w:t>費</w:t>
      </w:r>
      <w:r>
        <w:rPr>
          <w:rFonts w:hAnsi="標楷體" w:hint="eastAsia"/>
          <w:sz w:val="28"/>
          <w:szCs w:val="28"/>
        </w:rPr>
        <w:t>案件：</w:t>
      </w:r>
    </w:p>
    <w:p w:rsidR="003470DF" w:rsidRDefault="003470DF" w:rsidP="005C03BC">
      <w:pPr>
        <w:pStyle w:val="2"/>
        <w:numPr>
          <w:ilvl w:val="0"/>
          <w:numId w:val="0"/>
        </w:numPr>
        <w:ind w:leftChars="-94" w:left="1135" w:hangingChars="486" w:hanging="1361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       </w:t>
      </w:r>
      <w:r w:rsidRPr="00FA128C">
        <w:rPr>
          <w:rFonts w:hAnsi="標楷體" w:hint="eastAsia"/>
          <w:sz w:val="28"/>
          <w:szCs w:val="28"/>
        </w:rPr>
        <w:t>自99年8月25日</w:t>
      </w:r>
      <w:r>
        <w:rPr>
          <w:rFonts w:hAnsi="標楷體" w:hint="eastAsia"/>
          <w:sz w:val="28"/>
          <w:szCs w:val="28"/>
        </w:rPr>
        <w:t>起，委由四大超商代</w:t>
      </w:r>
      <w:proofErr w:type="gramStart"/>
      <w:r>
        <w:rPr>
          <w:rFonts w:hAnsi="標楷體" w:hint="eastAsia"/>
          <w:sz w:val="28"/>
          <w:szCs w:val="28"/>
        </w:rPr>
        <w:t>收滯欠</w:t>
      </w:r>
      <w:proofErr w:type="gramEnd"/>
      <w:r>
        <w:rPr>
          <w:rFonts w:hAnsi="標楷體" w:hint="eastAsia"/>
          <w:sz w:val="28"/>
          <w:szCs w:val="28"/>
        </w:rPr>
        <w:t>未滿2萬元之健保費案件。</w:t>
      </w:r>
      <w:proofErr w:type="gramStart"/>
      <w:r>
        <w:rPr>
          <w:rFonts w:hAnsi="標楷體" w:hint="eastAsia"/>
          <w:sz w:val="28"/>
          <w:szCs w:val="28"/>
        </w:rPr>
        <w:t>嗣</w:t>
      </w:r>
      <w:proofErr w:type="gramEnd"/>
      <w:r>
        <w:rPr>
          <w:rFonts w:hAnsi="標楷體" w:hint="eastAsia"/>
          <w:sz w:val="28"/>
          <w:szCs w:val="28"/>
        </w:rPr>
        <w:t>再擴大委由郵局、</w:t>
      </w:r>
      <w:proofErr w:type="gramStart"/>
      <w:r>
        <w:rPr>
          <w:rFonts w:hAnsi="標楷體" w:hint="eastAsia"/>
          <w:sz w:val="28"/>
          <w:szCs w:val="28"/>
        </w:rPr>
        <w:t>臺</w:t>
      </w:r>
      <w:proofErr w:type="gramEnd"/>
      <w:r>
        <w:rPr>
          <w:rFonts w:hAnsi="標楷體" w:hint="eastAsia"/>
          <w:sz w:val="28"/>
          <w:szCs w:val="28"/>
        </w:rPr>
        <w:t xml:space="preserve">銀、土銀、合庫等15家金融機構亦可代收，代收金額則未限制。  </w:t>
      </w:r>
    </w:p>
    <w:p w:rsidR="003470DF" w:rsidRDefault="003470DF" w:rsidP="003470DF">
      <w:pPr>
        <w:pStyle w:val="2"/>
        <w:numPr>
          <w:ilvl w:val="0"/>
          <w:numId w:val="0"/>
        </w:numPr>
        <w:ind w:leftChars="-95" w:left="1298" w:hangingChars="545" w:hanging="1526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　 （四）</w:t>
      </w:r>
      <w:r w:rsidRPr="00FA128C">
        <w:rPr>
          <w:rFonts w:hAnsi="標楷體" w:hint="eastAsia"/>
          <w:sz w:val="28"/>
          <w:szCs w:val="28"/>
        </w:rPr>
        <w:t>交通違規罰鍰</w:t>
      </w:r>
      <w:r>
        <w:rPr>
          <w:rFonts w:hAnsi="標楷體" w:hint="eastAsia"/>
          <w:sz w:val="28"/>
          <w:szCs w:val="28"/>
        </w:rPr>
        <w:t>案件：</w:t>
      </w:r>
    </w:p>
    <w:p w:rsidR="003470DF" w:rsidRDefault="003470DF" w:rsidP="005C03BC">
      <w:pPr>
        <w:pStyle w:val="2"/>
        <w:numPr>
          <w:ilvl w:val="0"/>
          <w:numId w:val="0"/>
        </w:numPr>
        <w:ind w:leftChars="-95" w:left="1133" w:hangingChars="486" w:hanging="1361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       </w:t>
      </w:r>
      <w:r w:rsidRPr="00FA128C">
        <w:rPr>
          <w:rFonts w:hAnsi="標楷體" w:hint="eastAsia"/>
          <w:sz w:val="28"/>
          <w:szCs w:val="28"/>
        </w:rPr>
        <w:t>自100年10月31日</w:t>
      </w:r>
      <w:r>
        <w:rPr>
          <w:rFonts w:hAnsi="標楷體" w:hint="eastAsia"/>
          <w:sz w:val="28"/>
          <w:szCs w:val="28"/>
        </w:rPr>
        <w:t>起，委由四大超商代</w:t>
      </w:r>
      <w:proofErr w:type="gramStart"/>
      <w:r>
        <w:rPr>
          <w:rFonts w:hAnsi="標楷體" w:hint="eastAsia"/>
          <w:sz w:val="28"/>
          <w:szCs w:val="28"/>
        </w:rPr>
        <w:t>收滯欠</w:t>
      </w:r>
      <w:proofErr w:type="gramEnd"/>
      <w:r>
        <w:rPr>
          <w:rFonts w:hAnsi="標楷體" w:hint="eastAsia"/>
          <w:sz w:val="28"/>
          <w:szCs w:val="28"/>
        </w:rPr>
        <w:t>未滿2萬元之該類案件</w:t>
      </w:r>
      <w:r w:rsidRPr="00082E4C">
        <w:rPr>
          <w:sz w:val="28"/>
          <w:szCs w:val="28"/>
        </w:rPr>
        <w:t>。</w:t>
      </w:r>
    </w:p>
    <w:p w:rsidR="003470DF" w:rsidRDefault="003470DF" w:rsidP="003470DF">
      <w:pPr>
        <w:pStyle w:val="2"/>
        <w:numPr>
          <w:ilvl w:val="0"/>
          <w:numId w:val="0"/>
        </w:numPr>
        <w:ind w:leftChars="-95" w:left="1298" w:hangingChars="545" w:hanging="1526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 （五）</w:t>
      </w:r>
      <w:r w:rsidRPr="00FA128C">
        <w:rPr>
          <w:rFonts w:hAnsi="標楷體" w:hint="eastAsia"/>
          <w:sz w:val="28"/>
          <w:szCs w:val="28"/>
        </w:rPr>
        <w:t>勞</w:t>
      </w:r>
      <w:r>
        <w:rPr>
          <w:rFonts w:hAnsi="標楷體" w:hint="eastAsia"/>
          <w:sz w:val="28"/>
          <w:szCs w:val="28"/>
        </w:rPr>
        <w:t>工</w:t>
      </w:r>
      <w:r w:rsidRPr="00FA128C">
        <w:rPr>
          <w:rFonts w:hAnsi="標楷體" w:hint="eastAsia"/>
          <w:sz w:val="28"/>
          <w:szCs w:val="28"/>
        </w:rPr>
        <w:t>保</w:t>
      </w:r>
      <w:r>
        <w:rPr>
          <w:rFonts w:hAnsi="標楷體" w:hint="eastAsia"/>
          <w:sz w:val="28"/>
          <w:szCs w:val="28"/>
        </w:rPr>
        <w:t>險</w:t>
      </w:r>
      <w:r w:rsidRPr="00FA128C">
        <w:rPr>
          <w:rFonts w:hAnsi="標楷體" w:hint="eastAsia"/>
          <w:sz w:val="28"/>
          <w:szCs w:val="28"/>
        </w:rPr>
        <w:t>費</w:t>
      </w:r>
      <w:r>
        <w:rPr>
          <w:rFonts w:hAnsi="標楷體" w:hint="eastAsia"/>
          <w:sz w:val="28"/>
          <w:szCs w:val="28"/>
        </w:rPr>
        <w:t>及勞工退休金案件：</w:t>
      </w:r>
    </w:p>
    <w:p w:rsidR="004A6CB1" w:rsidRDefault="003470DF" w:rsidP="005C03BC">
      <w:pPr>
        <w:pStyle w:val="2"/>
        <w:numPr>
          <w:ilvl w:val="0"/>
          <w:numId w:val="0"/>
        </w:numPr>
        <w:ind w:leftChars="286" w:left="990" w:hanging="304"/>
        <w:rPr>
          <w:rFonts w:hAnsi="標楷體"/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</w:t>
      </w:r>
      <w:r w:rsidRPr="00FA128C">
        <w:rPr>
          <w:rFonts w:hAnsi="標楷體" w:hint="eastAsia"/>
          <w:sz w:val="28"/>
          <w:szCs w:val="28"/>
        </w:rPr>
        <w:t>自101年1月10日</w:t>
      </w:r>
      <w:r>
        <w:rPr>
          <w:rFonts w:hAnsi="標楷體" w:hint="eastAsia"/>
          <w:sz w:val="28"/>
          <w:szCs w:val="28"/>
        </w:rPr>
        <w:t>起，委由四大超商代收滯欠未滿2萬元之該類件；另委由臺銀、花旗、聯邦、三信等29家金融機構代收，</w:t>
      </w:r>
      <w:r w:rsidR="00A1506A">
        <w:rPr>
          <w:rFonts w:hAnsi="標楷體" w:hint="eastAsia"/>
          <w:sz w:val="28"/>
          <w:szCs w:val="28"/>
        </w:rPr>
        <w:t>且</w:t>
      </w:r>
      <w:bookmarkStart w:id="0" w:name="_GoBack"/>
      <w:bookmarkEnd w:id="0"/>
      <w:r>
        <w:rPr>
          <w:rFonts w:hAnsi="標楷體" w:hint="eastAsia"/>
          <w:sz w:val="28"/>
          <w:szCs w:val="28"/>
        </w:rPr>
        <w:t>未限制繳款金額。</w:t>
      </w:r>
    </w:p>
    <w:p w:rsidR="005C03BC" w:rsidRDefault="005C03BC" w:rsidP="005C03BC">
      <w:pPr>
        <w:pStyle w:val="2"/>
        <w:numPr>
          <w:ilvl w:val="0"/>
          <w:numId w:val="0"/>
        </w:numPr>
        <w:ind w:leftChars="286" w:left="990" w:hanging="304"/>
      </w:pPr>
    </w:p>
    <w:p w:rsidR="00651D87" w:rsidRDefault="00651D87" w:rsidP="005C03BC">
      <w:pPr>
        <w:pStyle w:val="2"/>
        <w:numPr>
          <w:ilvl w:val="0"/>
          <w:numId w:val="0"/>
        </w:numPr>
        <w:ind w:leftChars="286" w:left="990" w:hanging="304"/>
      </w:pPr>
    </w:p>
    <w:p w:rsidR="00651D87" w:rsidRDefault="00651D87" w:rsidP="005C03BC">
      <w:pPr>
        <w:pStyle w:val="2"/>
        <w:numPr>
          <w:ilvl w:val="0"/>
          <w:numId w:val="0"/>
        </w:numPr>
        <w:ind w:leftChars="286" w:left="990" w:hanging="304"/>
      </w:pPr>
    </w:p>
    <w:p w:rsidR="00651D87" w:rsidRDefault="00651D87" w:rsidP="005C03BC">
      <w:pPr>
        <w:pStyle w:val="2"/>
        <w:numPr>
          <w:ilvl w:val="0"/>
          <w:numId w:val="0"/>
        </w:numPr>
        <w:ind w:leftChars="286" w:left="990" w:hanging="304"/>
      </w:pPr>
    </w:p>
    <w:p w:rsidR="00651D87" w:rsidRDefault="00651D87" w:rsidP="005C03BC">
      <w:pPr>
        <w:pStyle w:val="2"/>
        <w:numPr>
          <w:ilvl w:val="0"/>
          <w:numId w:val="0"/>
        </w:numPr>
        <w:ind w:leftChars="286" w:left="990" w:hanging="304"/>
      </w:pPr>
    </w:p>
    <w:p w:rsidR="00651D87" w:rsidRDefault="00651D87" w:rsidP="005C03BC">
      <w:pPr>
        <w:pStyle w:val="2"/>
        <w:numPr>
          <w:ilvl w:val="0"/>
          <w:numId w:val="0"/>
        </w:numPr>
        <w:ind w:leftChars="286" w:left="990" w:hanging="304"/>
      </w:pPr>
    </w:p>
    <w:p w:rsidR="00651D87" w:rsidRDefault="00651D87" w:rsidP="005C03BC">
      <w:pPr>
        <w:pStyle w:val="2"/>
        <w:numPr>
          <w:ilvl w:val="0"/>
          <w:numId w:val="0"/>
        </w:numPr>
        <w:ind w:leftChars="286" w:left="990" w:hanging="304"/>
      </w:pPr>
    </w:p>
    <w:p w:rsidR="00651D87" w:rsidRDefault="00651D87" w:rsidP="005C03BC">
      <w:pPr>
        <w:pStyle w:val="2"/>
        <w:numPr>
          <w:ilvl w:val="0"/>
          <w:numId w:val="0"/>
        </w:numPr>
        <w:ind w:leftChars="286" w:left="990" w:hanging="304"/>
      </w:pPr>
    </w:p>
    <w:p w:rsidR="00651D87" w:rsidRPr="00651D87" w:rsidRDefault="00651D87" w:rsidP="005C03BC">
      <w:pPr>
        <w:pStyle w:val="2"/>
        <w:numPr>
          <w:ilvl w:val="0"/>
          <w:numId w:val="0"/>
        </w:numPr>
        <w:ind w:leftChars="286" w:left="990" w:hanging="30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412750</wp:posOffset>
            </wp:positionV>
            <wp:extent cx="5274310" cy="8124825"/>
            <wp:effectExtent l="19050" t="0" r="2540" b="0"/>
            <wp:wrapThrough wrapText="bothSides">
              <wp:wrapPolygon edited="0">
                <wp:start x="-78" y="0"/>
                <wp:lineTo x="-78" y="21575"/>
                <wp:lineTo x="21610" y="21575"/>
                <wp:lineTo x="21610" y="0"/>
                <wp:lineTo x="-78" y="0"/>
              </wp:wrapPolygon>
            </wp:wrapThrough>
            <wp:docPr id="2" name="圖片 1" descr="Z:\吳學寬執行官檔案展資料\多元繳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吳學寬執行官檔案展資料\多元繳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51D87" w:rsidRPr="00651D87" w:rsidSect="004A6C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D87" w:rsidRDefault="00651D87" w:rsidP="00651D87">
      <w:pPr>
        <w:spacing w:line="240" w:lineRule="auto"/>
        <w:ind w:left="809" w:hanging="120"/>
      </w:pPr>
      <w:r>
        <w:separator/>
      </w:r>
    </w:p>
  </w:endnote>
  <w:endnote w:type="continuationSeparator" w:id="0">
    <w:p w:rsidR="00651D87" w:rsidRDefault="00651D87" w:rsidP="00651D87">
      <w:pPr>
        <w:spacing w:line="240" w:lineRule="auto"/>
        <w:ind w:left="809" w:hanging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87" w:rsidRDefault="00651D87" w:rsidP="00651D87">
    <w:pPr>
      <w:pStyle w:val="a5"/>
      <w:ind w:left="789" w:hanging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87" w:rsidRDefault="00651D87" w:rsidP="00651D87">
    <w:pPr>
      <w:pStyle w:val="a5"/>
      <w:ind w:left="789" w:hanging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87" w:rsidRDefault="00651D87" w:rsidP="00651D87">
    <w:pPr>
      <w:pStyle w:val="a5"/>
      <w:ind w:left="789" w:hanging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D87" w:rsidRDefault="00651D87" w:rsidP="00651D87">
      <w:pPr>
        <w:spacing w:line="240" w:lineRule="auto"/>
        <w:ind w:left="809" w:hanging="120"/>
      </w:pPr>
      <w:r>
        <w:separator/>
      </w:r>
    </w:p>
  </w:footnote>
  <w:footnote w:type="continuationSeparator" w:id="0">
    <w:p w:rsidR="00651D87" w:rsidRDefault="00651D87" w:rsidP="00651D87">
      <w:pPr>
        <w:spacing w:line="240" w:lineRule="auto"/>
        <w:ind w:left="809" w:hanging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87" w:rsidRDefault="00651D87" w:rsidP="00651D87">
    <w:pPr>
      <w:pStyle w:val="a3"/>
      <w:ind w:left="789" w:hanging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87" w:rsidRDefault="00651D87" w:rsidP="00651D87">
    <w:pPr>
      <w:pStyle w:val="a3"/>
      <w:ind w:left="789" w:hanging="1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87" w:rsidRDefault="00651D87" w:rsidP="00651D87">
    <w:pPr>
      <w:pStyle w:val="a3"/>
      <w:ind w:left="789" w:hanging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E010C"/>
    <w:multiLevelType w:val="multilevel"/>
    <w:tmpl w:val="222A03CA"/>
    <w:lvl w:ilvl="0">
      <w:start w:val="1"/>
      <w:numFmt w:val="ideographLegalTraditional"/>
      <w:pStyle w:val="1"/>
      <w:suff w:val="nothing"/>
      <w:lvlText w:val="%1、"/>
      <w:lvlJc w:val="left"/>
      <w:pPr>
        <w:ind w:left="699" w:hanging="699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1123" w:hanging="697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1393" w:hanging="697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3">
      <w:start w:val="1"/>
      <w:numFmt w:val="decimalFullWidth"/>
      <w:pStyle w:val="4"/>
      <w:suff w:val="nothing"/>
      <w:lvlText w:val="%4、"/>
      <w:lvlJc w:val="left"/>
      <w:pPr>
        <w:ind w:left="1741" w:hanging="698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4">
      <w:start w:val="1"/>
      <w:numFmt w:val="decimalFullWidth"/>
      <w:pStyle w:val="5"/>
      <w:suff w:val="nothing"/>
      <w:lvlText w:val="(%5)"/>
      <w:lvlJc w:val="left"/>
      <w:pPr>
        <w:ind w:left="2095" w:hanging="700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5">
      <w:start w:val="1"/>
      <w:numFmt w:val="decimalFullWidth"/>
      <w:pStyle w:val="6"/>
      <w:suff w:val="nothing"/>
      <w:lvlText w:val="&lt;%6&gt;"/>
      <w:lvlJc w:val="left"/>
      <w:pPr>
        <w:ind w:left="2441" w:hanging="697"/>
      </w:pPr>
      <w:rPr>
        <w:rFonts w:ascii="標楷體" w:eastAsia="標楷體" w:hAnsi="Times New Roman" w:cs="Times New Roman" w:hint="eastAsia"/>
        <w:b w:val="0"/>
        <w:i w:val="0"/>
        <w:spacing w:val="0"/>
        <w:w w:val="100"/>
        <w:position w:val="0"/>
        <w:sz w:val="32"/>
      </w:rPr>
    </w:lvl>
    <w:lvl w:ilvl="6">
      <w:start w:val="1"/>
      <w:numFmt w:val="bullet"/>
      <w:pStyle w:val="7"/>
      <w:suff w:val="nothing"/>
      <w:lvlText w:val="․"/>
      <w:lvlJc w:val="left"/>
      <w:pPr>
        <w:ind w:left="2444" w:hanging="352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</w:rPr>
    </w:lvl>
    <w:lvl w:ilvl="7">
      <w:start w:val="1"/>
      <w:numFmt w:val="bullet"/>
      <w:pStyle w:val="8"/>
      <w:suff w:val="nothing"/>
      <w:lvlText w:val="◇"/>
      <w:lvlJc w:val="left"/>
      <w:pPr>
        <w:ind w:left="2790" w:hanging="349"/>
      </w:pPr>
      <w:rPr>
        <w:rFonts w:ascii="標楷體" w:eastAsia="標楷體" w:hAnsi="Times New Roman" w:hint="eastAsia"/>
        <w:b w:val="0"/>
        <w:i w:val="0"/>
        <w:spacing w:val="0"/>
        <w:w w:val="100"/>
        <w:position w:val="0"/>
        <w:sz w:val="32"/>
      </w:rPr>
    </w:lvl>
    <w:lvl w:ilvl="8">
      <w:start w:val="1"/>
      <w:numFmt w:val="decimal"/>
      <w:lvlText w:val="%1.%2.%3.%4.%5.%6.%7.%8.%9"/>
      <w:lvlJc w:val="left"/>
      <w:pPr>
        <w:tabs>
          <w:tab w:val="num" w:pos="6195"/>
        </w:tabs>
        <w:ind w:left="5015" w:hanging="170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70DF"/>
    <w:rsid w:val="003470DF"/>
    <w:rsid w:val="004A6CB1"/>
    <w:rsid w:val="005C03BC"/>
    <w:rsid w:val="00651D87"/>
    <w:rsid w:val="00A1506A"/>
    <w:rsid w:val="00E1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0DF"/>
    <w:pPr>
      <w:widowControl w:val="0"/>
      <w:spacing w:line="400" w:lineRule="exact"/>
      <w:ind w:leftChars="287" w:left="337" w:hangingChars="50" w:hanging="50"/>
      <w:jc w:val="both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9"/>
    <w:qFormat/>
    <w:rsid w:val="003470DF"/>
    <w:pPr>
      <w:numPr>
        <w:numId w:val="1"/>
      </w:numPr>
      <w:kinsoku w:val="0"/>
      <w:outlineLvl w:val="0"/>
    </w:pPr>
    <w:rPr>
      <w:rFonts w:ascii="標楷體" w:eastAsia="標楷體" w:hAnsi="Arial" w:cs="新細明體"/>
      <w:bCs/>
      <w:kern w:val="0"/>
      <w:sz w:val="32"/>
      <w:szCs w:val="52"/>
    </w:rPr>
  </w:style>
  <w:style w:type="paragraph" w:styleId="2">
    <w:name w:val="heading 2"/>
    <w:basedOn w:val="a"/>
    <w:link w:val="20"/>
    <w:uiPriority w:val="99"/>
    <w:qFormat/>
    <w:rsid w:val="003470DF"/>
    <w:pPr>
      <w:numPr>
        <w:ilvl w:val="1"/>
        <w:numId w:val="1"/>
      </w:numPr>
      <w:outlineLvl w:val="1"/>
    </w:pPr>
    <w:rPr>
      <w:rFonts w:ascii="標楷體" w:eastAsia="標楷體" w:hAnsi="Arial" w:cs="新細明體"/>
      <w:bCs/>
      <w:kern w:val="0"/>
      <w:sz w:val="32"/>
      <w:szCs w:val="48"/>
    </w:rPr>
  </w:style>
  <w:style w:type="paragraph" w:styleId="3">
    <w:name w:val="heading 3"/>
    <w:basedOn w:val="a"/>
    <w:link w:val="30"/>
    <w:uiPriority w:val="99"/>
    <w:qFormat/>
    <w:rsid w:val="003470DF"/>
    <w:pPr>
      <w:numPr>
        <w:ilvl w:val="2"/>
        <w:numId w:val="1"/>
      </w:numPr>
      <w:outlineLvl w:val="2"/>
    </w:pPr>
    <w:rPr>
      <w:rFonts w:ascii="標楷體" w:eastAsia="標楷體" w:hAnsi="Arial" w:cs="新細明體"/>
      <w:bCs/>
      <w:kern w:val="0"/>
      <w:sz w:val="32"/>
      <w:szCs w:val="36"/>
    </w:rPr>
  </w:style>
  <w:style w:type="paragraph" w:styleId="4">
    <w:name w:val="heading 4"/>
    <w:basedOn w:val="a"/>
    <w:link w:val="40"/>
    <w:uiPriority w:val="99"/>
    <w:qFormat/>
    <w:rsid w:val="003470DF"/>
    <w:pPr>
      <w:numPr>
        <w:ilvl w:val="3"/>
        <w:numId w:val="1"/>
      </w:numPr>
      <w:outlineLvl w:val="3"/>
    </w:pPr>
    <w:rPr>
      <w:rFonts w:ascii="標楷體" w:eastAsia="標楷體" w:hAnsi="Arial" w:cs="新細明體"/>
      <w:sz w:val="32"/>
      <w:szCs w:val="36"/>
    </w:rPr>
  </w:style>
  <w:style w:type="paragraph" w:styleId="5">
    <w:name w:val="heading 5"/>
    <w:basedOn w:val="a"/>
    <w:link w:val="50"/>
    <w:uiPriority w:val="99"/>
    <w:qFormat/>
    <w:rsid w:val="003470DF"/>
    <w:pPr>
      <w:numPr>
        <w:ilvl w:val="4"/>
        <w:numId w:val="1"/>
      </w:numPr>
      <w:outlineLvl w:val="4"/>
    </w:pPr>
    <w:rPr>
      <w:rFonts w:ascii="標楷體" w:eastAsia="標楷體" w:hAnsi="Arial" w:cs="新細明體"/>
      <w:bCs/>
      <w:sz w:val="32"/>
      <w:szCs w:val="36"/>
    </w:rPr>
  </w:style>
  <w:style w:type="paragraph" w:styleId="6">
    <w:name w:val="heading 6"/>
    <w:basedOn w:val="a"/>
    <w:link w:val="60"/>
    <w:uiPriority w:val="99"/>
    <w:qFormat/>
    <w:rsid w:val="003470DF"/>
    <w:pPr>
      <w:numPr>
        <w:ilvl w:val="5"/>
        <w:numId w:val="1"/>
      </w:numPr>
      <w:tabs>
        <w:tab w:val="left" w:pos="2094"/>
      </w:tabs>
      <w:outlineLvl w:val="5"/>
    </w:pPr>
    <w:rPr>
      <w:rFonts w:ascii="標楷體" w:eastAsia="標楷體" w:hAnsi="Arial" w:cs="新細明體"/>
      <w:sz w:val="32"/>
      <w:szCs w:val="36"/>
    </w:rPr>
  </w:style>
  <w:style w:type="paragraph" w:styleId="7">
    <w:name w:val="heading 7"/>
    <w:basedOn w:val="a"/>
    <w:link w:val="70"/>
    <w:uiPriority w:val="99"/>
    <w:qFormat/>
    <w:rsid w:val="003470DF"/>
    <w:pPr>
      <w:numPr>
        <w:ilvl w:val="6"/>
        <w:numId w:val="1"/>
      </w:numPr>
      <w:outlineLvl w:val="6"/>
    </w:pPr>
    <w:rPr>
      <w:rFonts w:ascii="標楷體" w:eastAsia="標楷體" w:hAnsi="Arial"/>
      <w:bCs/>
      <w:sz w:val="32"/>
      <w:szCs w:val="36"/>
    </w:rPr>
  </w:style>
  <w:style w:type="paragraph" w:styleId="8">
    <w:name w:val="heading 8"/>
    <w:basedOn w:val="a"/>
    <w:link w:val="80"/>
    <w:uiPriority w:val="99"/>
    <w:qFormat/>
    <w:rsid w:val="003470DF"/>
    <w:pPr>
      <w:numPr>
        <w:ilvl w:val="7"/>
        <w:numId w:val="1"/>
      </w:numPr>
      <w:outlineLvl w:val="7"/>
    </w:pPr>
    <w:rPr>
      <w:rFonts w:ascii="標楷體" w:eastAsia="標楷體" w:hAnsi="Arial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3470DF"/>
    <w:rPr>
      <w:rFonts w:ascii="標楷體" w:eastAsia="標楷體" w:hAnsi="Arial" w:cs="新細明體"/>
      <w:bCs/>
      <w:kern w:val="0"/>
      <w:sz w:val="32"/>
      <w:szCs w:val="52"/>
    </w:rPr>
  </w:style>
  <w:style w:type="character" w:customStyle="1" w:styleId="20">
    <w:name w:val="標題 2 字元"/>
    <w:basedOn w:val="a0"/>
    <w:link w:val="2"/>
    <w:uiPriority w:val="99"/>
    <w:rsid w:val="003470DF"/>
    <w:rPr>
      <w:rFonts w:ascii="標楷體" w:eastAsia="標楷體" w:hAnsi="Arial" w:cs="新細明體"/>
      <w:bCs/>
      <w:kern w:val="0"/>
      <w:sz w:val="32"/>
      <w:szCs w:val="48"/>
    </w:rPr>
  </w:style>
  <w:style w:type="character" w:customStyle="1" w:styleId="30">
    <w:name w:val="標題 3 字元"/>
    <w:basedOn w:val="a0"/>
    <w:link w:val="3"/>
    <w:uiPriority w:val="99"/>
    <w:rsid w:val="003470DF"/>
    <w:rPr>
      <w:rFonts w:ascii="標楷體" w:eastAsia="標楷體" w:hAnsi="Arial" w:cs="新細明體"/>
      <w:bCs/>
      <w:kern w:val="0"/>
      <w:sz w:val="32"/>
      <w:szCs w:val="36"/>
    </w:rPr>
  </w:style>
  <w:style w:type="character" w:customStyle="1" w:styleId="40">
    <w:name w:val="標題 4 字元"/>
    <w:basedOn w:val="a0"/>
    <w:link w:val="4"/>
    <w:uiPriority w:val="99"/>
    <w:rsid w:val="003470DF"/>
    <w:rPr>
      <w:rFonts w:ascii="標楷體" w:eastAsia="標楷體" w:hAnsi="Arial" w:cs="新細明體"/>
      <w:sz w:val="32"/>
      <w:szCs w:val="36"/>
    </w:rPr>
  </w:style>
  <w:style w:type="character" w:customStyle="1" w:styleId="50">
    <w:name w:val="標題 5 字元"/>
    <w:basedOn w:val="a0"/>
    <w:link w:val="5"/>
    <w:uiPriority w:val="99"/>
    <w:rsid w:val="003470DF"/>
    <w:rPr>
      <w:rFonts w:ascii="標楷體" w:eastAsia="標楷體" w:hAnsi="Arial" w:cs="新細明體"/>
      <w:bCs/>
      <w:sz w:val="32"/>
      <w:szCs w:val="36"/>
    </w:rPr>
  </w:style>
  <w:style w:type="character" w:customStyle="1" w:styleId="60">
    <w:name w:val="標題 6 字元"/>
    <w:basedOn w:val="a0"/>
    <w:link w:val="6"/>
    <w:uiPriority w:val="99"/>
    <w:rsid w:val="003470DF"/>
    <w:rPr>
      <w:rFonts w:ascii="標楷體" w:eastAsia="標楷體" w:hAnsi="Arial" w:cs="新細明體"/>
      <w:sz w:val="32"/>
      <w:szCs w:val="36"/>
    </w:rPr>
  </w:style>
  <w:style w:type="character" w:customStyle="1" w:styleId="70">
    <w:name w:val="標題 7 字元"/>
    <w:basedOn w:val="a0"/>
    <w:link w:val="7"/>
    <w:uiPriority w:val="99"/>
    <w:rsid w:val="003470DF"/>
    <w:rPr>
      <w:rFonts w:ascii="標楷體" w:eastAsia="標楷體" w:hAnsi="Arial" w:cs="Times New Roman"/>
      <w:bCs/>
      <w:sz w:val="32"/>
      <w:szCs w:val="36"/>
    </w:rPr>
  </w:style>
  <w:style w:type="character" w:customStyle="1" w:styleId="80">
    <w:name w:val="標題 8 字元"/>
    <w:basedOn w:val="a0"/>
    <w:link w:val="8"/>
    <w:uiPriority w:val="99"/>
    <w:rsid w:val="003470DF"/>
    <w:rPr>
      <w:rFonts w:ascii="標楷體" w:eastAsia="標楷體" w:hAnsi="Arial" w:cs="Times New Roman"/>
      <w:sz w:val="32"/>
      <w:szCs w:val="36"/>
    </w:rPr>
  </w:style>
  <w:style w:type="paragraph" w:styleId="a3">
    <w:name w:val="header"/>
    <w:basedOn w:val="a"/>
    <w:link w:val="a4"/>
    <w:uiPriority w:val="99"/>
    <w:semiHidden/>
    <w:unhideWhenUsed/>
    <w:rsid w:val="00651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51D8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51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51D87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51D8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51D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chihhan0514</dc:creator>
  <cp:lastModifiedBy>李建德</cp:lastModifiedBy>
  <cp:revision>3</cp:revision>
  <dcterms:created xsi:type="dcterms:W3CDTF">2016-03-18T03:55:00Z</dcterms:created>
  <dcterms:modified xsi:type="dcterms:W3CDTF">2016-03-22T01:36:00Z</dcterms:modified>
</cp:coreProperties>
</file>