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6E7F5D" w:rsidRPr="001F5D1C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должны обеспечиваться оптимальные </w:t>
      </w:r>
      <w:r w:rsidR="006E7F5D" w:rsidRPr="00965BDA">
        <w:rPr>
          <w:rFonts w:ascii="Times New Roman" w:hAnsi="Times New Roman" w:cs="Times New Roman"/>
          <w:sz w:val="28"/>
          <w:szCs w:val="28"/>
          <w:highlight w:val="yellow"/>
        </w:rPr>
        <w:t>параметры микроклимата для категории работ 1а и 1б в соответствии с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>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Так как работа в отделе в основном выполняется сидя, то данный вид работ относится к категории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5D1C" w:rsidRP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1F5D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5D1C">
        <w:rPr>
          <w:rFonts w:ascii="Times New Roman" w:hAnsi="Times New Roman" w:cs="Times New Roman"/>
          <w:sz w:val="28"/>
          <w:szCs w:val="28"/>
        </w:rPr>
        <w:t xml:space="preserve">.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 xml:space="preserve">на рабочих местах, согласно </w:t>
      </w:r>
      <w:proofErr w:type="gramStart"/>
      <w:r w:rsidR="007849B6">
        <w:rPr>
          <w:rFonts w:ascii="Times New Roman" w:hAnsi="Times New Roman" w:cs="Times New Roman"/>
          <w:sz w:val="28"/>
          <w:szCs w:val="28"/>
        </w:rPr>
        <w:t xml:space="preserve">СанПиН 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</w:t>
      </w:r>
      <w:proofErr w:type="gramEnd"/>
      <w:r w:rsidR="007849B6">
        <w:rPr>
          <w:rFonts w:ascii="Times New Roman" w:hAnsi="Times New Roman" w:cs="Times New Roman"/>
          <w:sz w:val="28"/>
          <w:szCs w:val="28"/>
        </w:rPr>
        <w:t>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 xml:space="preserve">при котором имеет место изменение теплообмена человека с окружающей средой,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 материалов, используемых при изготовлении ПЭВМ, являются:</w:t>
      </w:r>
    </w:p>
    <w:p w:rsidR="002E6D25" w:rsidRPr="00965BDA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5BDA">
        <w:rPr>
          <w:rFonts w:ascii="Times New Roman" w:hAnsi="Times New Roman" w:cs="Times New Roman"/>
          <w:sz w:val="28"/>
          <w:szCs w:val="28"/>
          <w:highlight w:val="yellow"/>
        </w:rPr>
        <w:t>Стирол;</w:t>
      </w:r>
    </w:p>
    <w:p w:rsidR="002E6D25" w:rsidRPr="00965BDA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65BDA">
        <w:rPr>
          <w:rFonts w:ascii="Times New Roman" w:hAnsi="Times New Roman" w:cs="Times New Roman"/>
          <w:sz w:val="28"/>
          <w:szCs w:val="28"/>
          <w:highlight w:val="yellow"/>
        </w:rPr>
        <w:t>Формальдегид;</w:t>
      </w:r>
    </w:p>
    <w:p w:rsidR="002E6D25" w:rsidRPr="00965BDA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  <w:highlight w:val="yellow"/>
        </w:rPr>
      </w:pPr>
      <w:r w:rsidRPr="00965BDA">
        <w:rPr>
          <w:color w:val="000000"/>
          <w:sz w:val="28"/>
          <w:szCs w:val="28"/>
          <w:highlight w:val="yellow"/>
        </w:rPr>
        <w:t>Ацетальдегид</w:t>
      </w:r>
      <w:r w:rsidR="002061CB" w:rsidRPr="00965BDA">
        <w:rPr>
          <w:color w:val="000000"/>
          <w:sz w:val="28"/>
          <w:szCs w:val="28"/>
          <w:highlight w:val="yellow"/>
        </w:rPr>
        <w:t>;</w:t>
      </w:r>
    </w:p>
    <w:p w:rsidR="002E6D25" w:rsidRPr="00965BDA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  <w:highlight w:val="yellow"/>
        </w:rPr>
      </w:pPr>
      <w:bookmarkStart w:id="5" w:name="__DdeLink__8725_1322631887"/>
      <w:bookmarkEnd w:id="5"/>
      <w:r w:rsidRPr="00965BDA">
        <w:rPr>
          <w:rStyle w:val="apple-converted-space"/>
          <w:color w:val="000000"/>
          <w:sz w:val="28"/>
          <w:szCs w:val="28"/>
          <w:highlight w:val="yellow"/>
        </w:rPr>
        <w:t> </w:t>
      </w:r>
      <w:r w:rsidRPr="00965BDA">
        <w:rPr>
          <w:color w:val="000000"/>
          <w:sz w:val="28"/>
          <w:szCs w:val="28"/>
          <w:highlight w:val="yellow"/>
        </w:rPr>
        <w:t>Хлорированные углеводороды</w:t>
      </w:r>
      <w:r w:rsidR="002061CB" w:rsidRPr="00965BDA">
        <w:rPr>
          <w:color w:val="000000"/>
          <w:sz w:val="28"/>
          <w:szCs w:val="28"/>
          <w:highlight w:val="yellow"/>
        </w:rPr>
        <w:t>;</w:t>
      </w:r>
    </w:p>
    <w:p w:rsidR="002E6D25" w:rsidRPr="00965BDA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  <w:highlight w:val="yellow"/>
        </w:rPr>
      </w:pPr>
      <w:r w:rsidRPr="00965BDA">
        <w:rPr>
          <w:color w:val="000000"/>
          <w:sz w:val="28"/>
          <w:szCs w:val="28"/>
          <w:highlight w:val="yellow"/>
        </w:rPr>
        <w:t>Ароматические углеводороды</w:t>
      </w:r>
      <w:r w:rsidR="002061CB" w:rsidRPr="00965BDA">
        <w:rPr>
          <w:color w:val="000000"/>
          <w:sz w:val="28"/>
          <w:szCs w:val="28"/>
          <w:highlight w:val="yellow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>Предельно допустимые 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65BD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Таблица 65. </w:t>
      </w:r>
      <w:r w:rsidR="00004250" w:rsidRPr="00965BDA">
        <w:rPr>
          <w:rFonts w:ascii="Times New Roman" w:hAnsi="Times New Roman" w:cs="Times New Roman"/>
          <w:sz w:val="28"/>
          <w:szCs w:val="28"/>
          <w:highlight w:val="yellow"/>
        </w:rPr>
        <w:t>ПДК вредных веществ в атмосферном воздухе</w:t>
      </w:r>
      <w:r w:rsidRPr="00965BDA">
        <w:rPr>
          <w:rFonts w:ascii="Times New Roman" w:hAnsi="Times New Roman" w:cs="Times New Roman"/>
          <w:color w:val="00000A"/>
          <w:sz w:val="28"/>
          <w:szCs w:val="28"/>
          <w:highlight w:val="yellow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3058"/>
        <w:gridCol w:w="2025"/>
        <w:gridCol w:w="2227"/>
        <w:gridCol w:w="1643"/>
      </w:tblGrid>
      <w:tr w:rsidR="00004250" w:rsidRPr="00004250" w:rsidTr="00004250">
        <w:trPr>
          <w:trHeight w:val="452"/>
        </w:trPr>
        <w:tc>
          <w:tcPr>
            <w:tcW w:w="3058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4252" w:type="dxa"/>
            <w:gridSpan w:val="2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643" w:type="dxa"/>
            <w:vMerge w:val="restart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004250" w:rsidRPr="00004250" w:rsidTr="00004250">
        <w:trPr>
          <w:trHeight w:val="452"/>
        </w:trPr>
        <w:tc>
          <w:tcPr>
            <w:tcW w:w="3058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643" w:type="dxa"/>
            <w:vMerge/>
          </w:tcPr>
          <w:p w:rsidR="00004250" w:rsidRPr="00004250" w:rsidRDefault="00004250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4250" w:rsidRPr="00004250" w:rsidTr="00004250">
        <w:tc>
          <w:tcPr>
            <w:tcW w:w="3058" w:type="dxa"/>
          </w:tcPr>
          <w:p w:rsidR="00004250" w:rsidRPr="00004250" w:rsidRDefault="00004250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2025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227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643" w:type="dxa"/>
          </w:tcPr>
          <w:p w:rsidR="00004250" w:rsidRPr="00004250" w:rsidRDefault="00004250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>
        <w:rPr>
          <w:rFonts w:ascii="Times New Roman" w:hAnsi="Times New Roman" w:cs="Times New Roman"/>
          <w:sz w:val="28"/>
          <w:szCs w:val="28"/>
        </w:rPr>
        <w:t xml:space="preserve">ельной работой высокой точности и относится к разряду </w:t>
      </w:r>
      <w:r w:rsidR="0027408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27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4084">
        <w:rPr>
          <w:rFonts w:ascii="Times New Roman" w:hAnsi="Times New Roman" w:cs="Times New Roman"/>
          <w:sz w:val="28"/>
          <w:szCs w:val="28"/>
        </w:rPr>
        <w:t>подразряду</w:t>
      </w:r>
      <w:proofErr w:type="spellEnd"/>
      <w:r w:rsidR="00274084">
        <w:rPr>
          <w:rFonts w:ascii="Times New Roman" w:hAnsi="Times New Roman" w:cs="Times New Roman"/>
          <w:sz w:val="28"/>
          <w:szCs w:val="28"/>
        </w:rPr>
        <w:t xml:space="preserve"> Г –</w:t>
      </w:r>
      <w:r w:rsidR="00DD3869">
        <w:rPr>
          <w:rFonts w:ascii="Times New Roman" w:hAnsi="Times New Roman" w:cs="Times New Roman"/>
          <w:sz w:val="28"/>
          <w:szCs w:val="28"/>
        </w:rPr>
        <w:t xml:space="preserve">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средний, 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 xml:space="preserve">менения в эмоциональном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>Основными источниками вибрации в отделе являются принтер и 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 xml:space="preserve">Предельно допустимые значения вибрации на рабочих </w:t>
      </w:r>
      <w:r w:rsidR="00862568">
        <w:rPr>
          <w:rFonts w:ascii="Times New Roman" w:hAnsi="Times New Roman" w:cs="Times New Roman"/>
          <w:sz w:val="28"/>
          <w:szCs w:val="28"/>
        </w:rPr>
        <w:lastRenderedPageBreak/>
        <w:t>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/2.1.8.566-96 «Производственная 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Согласно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</w:p>
    <w:p w:rsidR="00C44C3F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частотой 50 Гц и напряжением 220В. Для предотвращения </w:t>
      </w:r>
      <w:proofErr w:type="spellStart"/>
      <w:r w:rsidR="00A3138F"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 w:rsidR="00A3138F"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 w:rsidR="00A3138F">
        <w:rPr>
          <w:rFonts w:ascii="Times New Roman" w:hAnsi="Times New Roman" w:cs="Times New Roman"/>
          <w:sz w:val="28"/>
          <w:szCs w:val="28"/>
        </w:rPr>
        <w:t>за</w:t>
      </w:r>
      <w:r w:rsidR="00A3138F"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="00A3138F"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 w:rsidR="00A3138F"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 xml:space="preserve">ктронных схем очень высока. Соединительные провода и кабели располагаются близко друг к другу. При протекании по ним электрического тока выделяется </w:t>
      </w:r>
      <w:r w:rsidR="00595A91">
        <w:rPr>
          <w:rFonts w:ascii="Times New Roman" w:hAnsi="Times New Roman" w:cs="Times New Roman"/>
          <w:sz w:val="28"/>
          <w:szCs w:val="28"/>
        </w:rPr>
        <w:lastRenderedPageBreak/>
        <w:t>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>плоты, в результате чего возможно оплавление изоляции. Для отвода избыточной теплоты от ПЭВМ используются системы 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93">
        <w:rPr>
          <w:rFonts w:ascii="Times New Roman" w:hAnsi="Times New Roman" w:cs="Times New Roman"/>
          <w:sz w:val="28"/>
          <w:szCs w:val="28"/>
        </w:rPr>
        <w:t xml:space="preserve">Нормы пожарной безопасности помещений регулируются документом </w:t>
      </w:r>
      <w:r w:rsidRPr="00274084">
        <w:rPr>
          <w:rFonts w:ascii="Times New Roman" w:hAnsi="Times New Roman" w:cs="Times New Roman"/>
          <w:sz w:val="28"/>
          <w:szCs w:val="28"/>
          <w:highlight w:val="yellow"/>
        </w:rPr>
        <w:t>НПБ 105-03 «Нормы пожарной безопасности "определение категорий</w:t>
      </w:r>
      <w:r w:rsidRPr="00264493">
        <w:rPr>
          <w:rFonts w:ascii="Times New Roman" w:hAnsi="Times New Roman" w:cs="Times New Roman"/>
          <w:sz w:val="28"/>
          <w:szCs w:val="28"/>
        </w:rPr>
        <w:t xml:space="preserve"> помещений, зданий и наружных установок по взрывопожарной и пожарной опасности».</w:t>
      </w:r>
      <w:r>
        <w:rPr>
          <w:rFonts w:ascii="Times New Roman" w:hAnsi="Times New Roman" w:cs="Times New Roman"/>
          <w:sz w:val="28"/>
          <w:szCs w:val="28"/>
        </w:rPr>
        <w:t xml:space="preserve"> Согласно данному документу отдел</w:t>
      </w:r>
      <w:r w:rsidR="00274084">
        <w:rPr>
          <w:rFonts w:ascii="Times New Roman" w:hAnsi="Times New Roman" w:cs="Times New Roman"/>
          <w:sz w:val="28"/>
          <w:szCs w:val="28"/>
        </w:rPr>
        <w:t xml:space="preserve"> 28-01 относится к категории Д</w:t>
      </w:r>
      <w:bookmarkStart w:id="7" w:name="_GoBack"/>
      <w:bookmarkEnd w:id="7"/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0C67E9" w:rsidRPr="000C67E9" w:rsidRDefault="000C67E9" w:rsidP="007741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производственных помещениях с постоянным пребыванием в них людей для работ в дневное время необходимо предусматривать естественное освещение, как наиболее экономичное и современное с позиций медико-санитарных требований в сравнении с искусственным освещением.</w:t>
      </w:r>
    </w:p>
    <w:p w:rsidR="000C67E9" w:rsidRPr="000C67E9" w:rsidRDefault="000C67E9" w:rsidP="0077416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Естественное освещение подразделяется на следующие типы: боковое, верхнее и комбинированное (верхнее и боковое). 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освещение.</w:t>
      </w:r>
    </w:p>
    <w:p w:rsidR="000C67E9" w:rsidRDefault="000C67E9" w:rsidP="000C67E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верхнем или комбинированном естественном освещении помещений любого назначения нормируется среднее значение коэффициента 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естественной освещенности (КЕО) в точках, расположенных на пересечении вертикальной плоскости характерного разреза помещения и рабочей поверхности. Расчетная точка принимается в геометрическом центре помещения или на расстоянии 1 м от поверхности стены, противостоящей боковому </w:t>
      </w:r>
      <w:proofErr w:type="spellStart"/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светопроему</w:t>
      </w:r>
      <w:proofErr w:type="spellEnd"/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(СанПиН 2.2.1/2.1.1.1278-03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Гигиенические требования к естественному, искусственному и совмещенному освещению жилых и общественных зданий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74167" w:rsidRPr="00774167" w:rsidRDefault="00774167" w:rsidP="007741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9" o:title=""/>
          </v:shape>
          <o:OLEObject Type="Embed" ProgID="Equation.3" ShapeID="_x0000_i1025" DrawAspect="Content" ObjectID="_1523003324" r:id="rId10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значение КЕО, определяемое </w:t>
      </w:r>
      <w:proofErr w:type="gramStart"/>
      <w:r w:rsidRPr="00774167">
        <w:rPr>
          <w:rFonts w:ascii="Times New Roman" w:hAnsi="Times New Roman" w:cs="Times New Roman"/>
          <w:sz w:val="28"/>
          <w:szCs w:val="28"/>
        </w:rPr>
        <w:t>из СанПиН</w:t>
      </w:r>
      <w:proofErr w:type="gramEnd"/>
      <w:r w:rsidRPr="00774167">
        <w:rPr>
          <w:rFonts w:ascii="Times New Roman" w:hAnsi="Times New Roman" w:cs="Times New Roman"/>
          <w:sz w:val="28"/>
          <w:szCs w:val="28"/>
        </w:rPr>
        <w:t xml:space="preserve"> 2.2.1/2.1.1.1278-03 по таблице 2 - Нормируемые показатели естественного, искусственного и совмещенного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>освещения основных помещений общественного здания, а также сопутствующих им производственных помещений. Категория помещения: кабинеты, рабочие комнаты, офисы, представительства. Естественное освещение – боковое.</w:t>
      </w:r>
    </w:p>
    <w:p w:rsidR="00774167" w:rsidRPr="00774167" w:rsidRDefault="00774167" w:rsidP="007741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26" type="#_x0000_t75" style="width:51.75pt;height:17.25pt" o:ole="">
            <v:imagedata r:id="rId11" o:title=""/>
          </v:shape>
          <o:OLEObject Type="Embed" ProgID="Equation.3" ShapeID="_x0000_i1026" DrawAspect="Content" ObjectID="_1523003325" r:id="rId12"/>
        </w:object>
      </w:r>
      <w:r w:rsidRPr="00774167">
        <w:rPr>
          <w:rFonts w:ascii="Times New Roman" w:hAnsi="Times New Roman" w:cs="Times New Roman"/>
          <w:sz w:val="28"/>
          <w:szCs w:val="28"/>
        </w:rPr>
        <w:t>,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 xml:space="preserve">- коэффициент, учитывающий повышение КЕО за счет отраженного света от потолка и стен помещения (подбирается по Таблице Б.9 СП 3-102-2003 </w:t>
      </w:r>
      <w:r w:rsidR="001543CD">
        <w:rPr>
          <w:rFonts w:ascii="Times New Roman" w:hAnsi="Times New Roman" w:cs="Times New Roman"/>
          <w:sz w:val="28"/>
          <w:szCs w:val="28"/>
        </w:rPr>
        <w:t>«</w:t>
      </w:r>
      <w:r w:rsidRPr="00774167">
        <w:rPr>
          <w:rFonts w:ascii="Times New Roman" w:hAnsi="Times New Roman" w:cs="Times New Roman"/>
          <w:sz w:val="28"/>
          <w:szCs w:val="28"/>
        </w:rPr>
        <w:t>Естественное освещение жилых и общественных зданий</w:t>
      </w:r>
      <w:r w:rsidR="001543CD">
        <w:rPr>
          <w:rFonts w:ascii="Times New Roman" w:hAnsi="Times New Roman" w:cs="Times New Roman"/>
          <w:sz w:val="28"/>
          <w:szCs w:val="28"/>
        </w:rPr>
        <w:t>»</w:t>
      </w:r>
      <w:r w:rsidRPr="00774167">
        <w:rPr>
          <w:rFonts w:ascii="Times New Roman" w:hAnsi="Times New Roman" w:cs="Times New Roman"/>
          <w:sz w:val="28"/>
          <w:szCs w:val="28"/>
        </w:rPr>
        <w:t>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 R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 xml:space="preserve">- коэффициент, учитывающий относительную яркость противостоящего здания (принимаем   </w:t>
      </w:r>
      <w:r w:rsidRPr="0077416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74167">
        <w:rPr>
          <w:rFonts w:ascii="Times New Roman" w:hAnsi="Times New Roman" w:cs="Times New Roman"/>
          <w:sz w:val="28"/>
          <w:szCs w:val="28"/>
        </w:rPr>
        <w:t>=0.11);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7" type="#_x0000_t75" style="width:12.75pt;height:18pt" o:ole="">
            <v:imagedata r:id="rId13" o:title=""/>
          </v:shape>
          <o:OLEObject Type="Embed" ProgID="Equation.3" ShapeID="_x0000_i1027" DrawAspect="Content" ObjectID="_1523003326" r:id="rId14"/>
        </w:object>
      </w:r>
      <w:r w:rsidRPr="00774167">
        <w:rPr>
          <w:rFonts w:ascii="Times New Roman" w:hAnsi="Times New Roman" w:cs="Times New Roman"/>
          <w:sz w:val="28"/>
          <w:szCs w:val="28"/>
        </w:rPr>
        <w:t>- общий коэффицие</w:t>
      </w:r>
      <w:r w:rsidR="001543CD">
        <w:rPr>
          <w:rFonts w:ascii="Times New Roman" w:hAnsi="Times New Roman" w:cs="Times New Roman"/>
          <w:sz w:val="28"/>
          <w:szCs w:val="28"/>
        </w:rPr>
        <w:t xml:space="preserve">нт светопропускания материала, </w:t>
      </w:r>
      <w:r w:rsidRPr="00774167">
        <w:rPr>
          <w:rFonts w:ascii="Times New Roman" w:hAnsi="Times New Roman" w:cs="Times New Roman"/>
          <w:sz w:val="28"/>
          <w:szCs w:val="28"/>
        </w:rPr>
        <w:t>определяемый по выражению:</w:t>
      </w:r>
    </w:p>
    <w:p w:rsidR="00774167" w:rsidRPr="00774167" w:rsidRDefault="00774167" w:rsidP="007741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1700" w:dyaOrig="360">
          <v:shape id="_x0000_i1028" type="#_x0000_t75" style="width:84.75pt;height:18pt" o:ole="">
            <v:imagedata r:id="rId15" o:title=""/>
          </v:shape>
          <o:OLEObject Type="Embed" ProgID="Equation.3" ShapeID="_x0000_i1028" DrawAspect="Content" ObjectID="_1523003327" r:id="rId16"/>
        </w:object>
      </w:r>
      <w:r w:rsidRPr="00774167">
        <w:rPr>
          <w:rFonts w:ascii="Times New Roman" w:hAnsi="Times New Roman" w:cs="Times New Roman"/>
          <w:sz w:val="28"/>
          <w:szCs w:val="28"/>
        </w:rPr>
        <w:t>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где 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29" type="#_x0000_t75" style="width:12pt;height:17.25pt" o:ole="">
            <v:imagedata r:id="rId17" o:title=""/>
          </v:shape>
          <o:OLEObject Type="Embed" ProgID="Equation.3" ShapeID="_x0000_i1029" DrawAspect="Content" ObjectID="_1523003328" r:id="rId18"/>
        </w:object>
      </w:r>
      <w:r w:rsidRPr="00774167">
        <w:rPr>
          <w:rFonts w:ascii="Times New Roman" w:hAnsi="Times New Roman" w:cs="Times New Roman"/>
          <w:sz w:val="28"/>
          <w:szCs w:val="28"/>
        </w:rPr>
        <w:t>- коэффициент светопропускания материала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40" w:dyaOrig="340">
          <v:shape id="_x0000_i1030" type="#_x0000_t75" style="width:12pt;height:17.25pt" o:ole="">
            <v:imagedata r:id="rId19" o:title=""/>
          </v:shape>
          <o:OLEObject Type="Embed" ProgID="Equation.3" ShapeID="_x0000_i1030" DrawAspect="Content" ObjectID="_1523003329" r:id="rId20"/>
        </w:object>
      </w:r>
      <w:r w:rsidRPr="00774167">
        <w:rPr>
          <w:rFonts w:ascii="Times New Roman" w:hAnsi="Times New Roman" w:cs="Times New Roman"/>
          <w:sz w:val="28"/>
          <w:szCs w:val="28"/>
        </w:rPr>
        <w:t>=0,8 для двойного оконного стекла);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1" type="#_x0000_t75" style="width:12.75pt;height:17.25pt" o:ole="">
            <v:imagedata r:id="rId21" o:title=""/>
          </v:shape>
          <o:OLEObject Type="Embed" ProgID="Equation.3" ShapeID="_x0000_i1031" DrawAspect="Content" ObjectID="_1523003330" r:id="rId22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коэффициент, учитывающий потери света в переплетах оконных рам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2" type="#_x0000_t75" style="width:12.75pt;height:17.25pt" o:ole="">
            <v:imagedata r:id="rId21" o:title=""/>
          </v:shape>
          <o:OLEObject Type="Embed" ProgID="Equation.3" ShapeID="_x0000_i1032" DrawAspect="Content" ObjectID="_1523003331" r:id="rId23"/>
        </w:object>
      </w:r>
      <w:r w:rsidRPr="00774167">
        <w:rPr>
          <w:rFonts w:ascii="Times New Roman" w:hAnsi="Times New Roman" w:cs="Times New Roman"/>
          <w:sz w:val="28"/>
          <w:szCs w:val="28"/>
        </w:rPr>
        <w:t>=0,6</w:t>
      </w:r>
      <w:r w:rsidR="001543CD">
        <w:rPr>
          <w:rFonts w:ascii="Times New Roman" w:hAnsi="Times New Roman" w:cs="Times New Roman"/>
          <w:sz w:val="28"/>
          <w:szCs w:val="28"/>
        </w:rPr>
        <w:t xml:space="preserve"> </w:t>
      </w:r>
      <w:r w:rsidRPr="00774167">
        <w:rPr>
          <w:rFonts w:ascii="Times New Roman" w:hAnsi="Times New Roman" w:cs="Times New Roman"/>
          <w:sz w:val="28"/>
          <w:szCs w:val="28"/>
        </w:rPr>
        <w:t>для двойных открывающихся рам);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3" type="#_x0000_t75" style="width:12.75pt;height:18pt" o:ole="">
            <v:imagedata r:id="rId24" o:title=""/>
          </v:shape>
          <o:OLEObject Type="Embed" ProgID="Equation.3" ShapeID="_x0000_i1033" DrawAspect="Content" ObjectID="_1523003332" r:id="rId25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-коэффициент, учитывающий потери света в несущих конструкциях оконных рам. Для случая бокового освещения </w:t>
      </w:r>
      <w:r w:rsidRPr="00774167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2.75pt;height:18pt" o:ole="">
            <v:imagedata r:id="rId26" o:title=""/>
          </v:shape>
          <o:OLEObject Type="Embed" ProgID="Equation.3" ShapeID="_x0000_i1034" DrawAspect="Content" ObjectID="_1523003333" r:id="rId27"/>
        </w:object>
      </w:r>
      <w:r w:rsidRPr="00774167">
        <w:rPr>
          <w:rFonts w:ascii="Times New Roman" w:hAnsi="Times New Roman" w:cs="Times New Roman"/>
          <w:sz w:val="28"/>
          <w:szCs w:val="28"/>
        </w:rPr>
        <w:t>=1.0;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5" type="#_x0000_t75" style="width:12.75pt;height:17.25pt" o:ole="">
            <v:imagedata r:id="rId28" o:title=""/>
          </v:shape>
          <o:OLEObject Type="Embed" ProgID="Equation.3" ShapeID="_x0000_i1035" DrawAspect="Content" ObjectID="_1523003334" r:id="rId29"/>
        </w:object>
      </w:r>
      <w:r w:rsidRPr="00774167">
        <w:rPr>
          <w:rFonts w:ascii="Times New Roman" w:hAnsi="Times New Roman" w:cs="Times New Roman"/>
          <w:sz w:val="28"/>
          <w:szCs w:val="28"/>
        </w:rPr>
        <w:t xml:space="preserve"> - коэффициент, учитывающий потери света в солнцезащитных устройствах (</w:t>
      </w:r>
      <w:r w:rsidRPr="007741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2.75pt;height:17.25pt" o:ole="">
            <v:imagedata r:id="rId30" o:title=""/>
          </v:shape>
          <o:OLEObject Type="Embed" ProgID="Equation.3" ShapeID="_x0000_i1036" DrawAspect="Content" ObjectID="_1523003335" r:id="rId31"/>
        </w:object>
      </w:r>
      <w:r w:rsidR="001543CD">
        <w:rPr>
          <w:rFonts w:ascii="Times New Roman" w:hAnsi="Times New Roman" w:cs="Times New Roman"/>
          <w:sz w:val="28"/>
          <w:szCs w:val="28"/>
        </w:rPr>
        <w:t>=1.0 для раздвигающихся штор).</w:t>
      </w:r>
    </w:p>
    <w:p w:rsidR="00774167" w:rsidRPr="00774167" w:rsidRDefault="00774167" w:rsidP="001543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3CD">
        <w:rPr>
          <w:rFonts w:ascii="Times New Roman" w:hAnsi="Times New Roman" w:cs="Times New Roman"/>
          <w:sz w:val="28"/>
          <w:szCs w:val="28"/>
          <w:highlight w:val="yellow"/>
        </w:rPr>
        <w:t>Отношение ширины помещения к высоте от уровня условной рабочей поверхности до верха окна =7.5;</w:t>
      </w:r>
    </w:p>
    <w:p w:rsidR="00774167" w:rsidRPr="00774167" w:rsidRDefault="00774167" w:rsidP="0077416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Отношение расстояния </w:t>
      </w:r>
      <w:r w:rsidRPr="001543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</w:t>
      </w: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 расчетной точки от наружной стены к ширине помещения </w:t>
      </w:r>
      <w:r w:rsidRPr="001543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1543CD">
        <w:rPr>
          <w:rFonts w:ascii="Times New Roman" w:hAnsi="Times New Roman" w:cs="Times New Roman"/>
          <w:sz w:val="28"/>
          <w:szCs w:val="28"/>
          <w:highlight w:val="yellow"/>
        </w:rPr>
        <w:t xml:space="preserve"> = 0.9;</w:t>
      </w:r>
    </w:p>
    <w:p w:rsidR="00774167" w:rsidRPr="00774167" w:rsidRDefault="00774167" w:rsidP="001543C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>Средневзвешенный коэффициент отра</w:t>
      </w:r>
      <w:r w:rsidR="001543CD">
        <w:rPr>
          <w:rFonts w:ascii="Times New Roman" w:hAnsi="Times New Roman" w:cs="Times New Roman"/>
          <w:sz w:val="28"/>
          <w:szCs w:val="28"/>
        </w:rPr>
        <w:t>жения потолка, стен, пола =0.4;</w:t>
      </w:r>
    </w:p>
    <w:p w:rsidR="00774167" w:rsidRPr="00774167" w:rsidRDefault="00774167" w:rsidP="00E24CA7">
      <w:pPr>
        <w:pStyle w:val="a9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74167">
        <w:rPr>
          <w:rFonts w:ascii="Times New Roman" w:hAnsi="Times New Roman" w:cs="Times New Roman"/>
          <w:color w:val="000000"/>
          <w:sz w:val="28"/>
          <w:szCs w:val="28"/>
        </w:rPr>
        <w:t>При боковом одностороннем освещении суммарная площадь световых п</w:t>
      </w:r>
      <w:r w:rsidR="00E24CA7">
        <w:rPr>
          <w:rFonts w:ascii="Times New Roman" w:hAnsi="Times New Roman" w:cs="Times New Roman"/>
          <w:color w:val="000000"/>
          <w:sz w:val="28"/>
          <w:szCs w:val="28"/>
        </w:rPr>
        <w:t>роемов определяется по формуле</w:t>
      </w:r>
      <w:r w:rsidRPr="007741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74167" w:rsidRPr="00774167" w:rsidRDefault="00774167" w:rsidP="007741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167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774167">
        <w:rPr>
          <w:rFonts w:ascii="Times New Roman" w:hAnsi="Times New Roman" w:cs="Times New Roman"/>
          <w:position w:val="-30"/>
          <w:sz w:val="28"/>
          <w:szCs w:val="28"/>
          <w:vertAlign w:val="subscript"/>
        </w:rPr>
        <w:object w:dxaOrig="2860" w:dyaOrig="720">
          <v:shape id="_x0000_i1037" type="#_x0000_t75" style="width:173.25pt;height:43.5pt" o:ole="">
            <v:imagedata r:id="rId32" o:title=""/>
          </v:shape>
          <o:OLEObject Type="Embed" ProgID="Equation.DSMT4" ShapeID="_x0000_i1037" DrawAspect="Content" ObjectID="_1523003336" r:id="rId33"/>
        </w:object>
      </w:r>
      <w:r w:rsidR="001543CD">
        <w:rPr>
          <w:rFonts w:ascii="Times New Roman" w:hAnsi="Times New Roman" w:cs="Times New Roman"/>
          <w:sz w:val="28"/>
          <w:szCs w:val="28"/>
        </w:rPr>
        <w:tab/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где </w:t>
      </w:r>
      <w:r w:rsidRPr="00E24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CA7"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 w:rsidRPr="00E24CA7">
        <w:rPr>
          <w:rFonts w:ascii="Times New Roman" w:hAnsi="Times New Roman" w:cs="Times New Roman"/>
          <w:sz w:val="28"/>
          <w:szCs w:val="28"/>
        </w:rPr>
        <w:t>– площадь пола помещения</w:t>
      </w:r>
      <w:r w:rsidRPr="00E24CA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852A3">
        <w:rPr>
          <w:rFonts w:ascii="Times New Roman" w:hAnsi="Times New Roman" w:cs="Times New Roman"/>
          <w:color w:val="000000"/>
          <w:sz w:val="28"/>
          <w:szCs w:val="28"/>
        </w:rPr>
        <w:t>35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38" type="#_x0000_t75" style="width:17.25pt;height:15.75pt" o:ole="">
            <v:imagedata r:id="rId34" o:title=""/>
          </v:shape>
          <o:OLEObject Type="Embed" ProgID="Equation.3" ShapeID="_x0000_i1038" DrawAspect="Content" ObjectID="_1523003337" r:id="rId35"/>
        </w:object>
      </w:r>
      <w:r w:rsidRPr="00E24CA7">
        <w:rPr>
          <w:rFonts w:ascii="Times New Roman" w:hAnsi="Times New Roman" w:cs="Times New Roman"/>
          <w:sz w:val="28"/>
          <w:szCs w:val="28"/>
        </w:rPr>
        <w:t>,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9" type="#_x0000_t75" style="width:14.25pt;height:18pt" o:ole="">
            <v:imagedata r:id="rId36" o:title=""/>
          </v:shape>
          <o:OLEObject Type="Embed" ProgID="Equation.3" ShapeID="_x0000_i1039" DrawAspect="Content" ObjectID="_1523003338" r:id="rId37"/>
        </w:object>
      </w:r>
      <w:r w:rsidRPr="00E24CA7">
        <w:rPr>
          <w:rFonts w:ascii="Times New Roman" w:hAnsi="Times New Roman" w:cs="Times New Roman"/>
          <w:sz w:val="28"/>
          <w:szCs w:val="28"/>
        </w:rPr>
        <w:t>-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 xml:space="preserve"> световая</w:t>
      </w:r>
      <w:r w:rsidRPr="00E24CA7">
        <w:rPr>
          <w:rFonts w:ascii="Times New Roman" w:hAnsi="Times New Roman" w:cs="Times New Roman"/>
          <w:sz w:val="28"/>
          <w:szCs w:val="28"/>
        </w:rPr>
        <w:t xml:space="preserve"> </w:t>
      </w:r>
      <w:r w:rsidRPr="00E24CA7">
        <w:rPr>
          <w:rFonts w:ascii="Times New Roman" w:hAnsi="Times New Roman" w:cs="Times New Roman"/>
          <w:color w:val="000000"/>
          <w:sz w:val="28"/>
          <w:szCs w:val="28"/>
        </w:rPr>
        <w:t>характеристика окна, определяется по таблице 2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40" type="#_x0000_t75" style="width:14.25pt;height:18pt" o:ole="">
            <v:imagedata r:id="rId36" o:title=""/>
          </v:shape>
          <o:OLEObject Type="Embed" ProgID="Equation.3" ShapeID="_x0000_i1040" DrawAspect="Content" ObjectID="_1523003339" r:id="rId38"/>
        </w:object>
      </w:r>
      <w:r w:rsidRPr="00E24CA7">
        <w:rPr>
          <w:rFonts w:ascii="Times New Roman" w:hAnsi="Times New Roman" w:cs="Times New Roman"/>
          <w:sz w:val="28"/>
          <w:szCs w:val="28"/>
        </w:rPr>
        <w:t>=35.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8852A3" w:rsidRPr="00E24CA7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041" type="#_x0000_t75" style="width:113.25pt;height:30.75pt" o:ole="">
            <v:imagedata r:id="rId39" o:title=""/>
          </v:shape>
          <o:OLEObject Type="Embed" ProgID="Equation.3" ShapeID="_x0000_i1041" DrawAspect="Content" ObjectID="_1523003340" r:id="rId40"/>
        </w:object>
      </w:r>
      <w:r w:rsidRPr="00E24CA7">
        <w:rPr>
          <w:rFonts w:ascii="Times New Roman" w:hAnsi="Times New Roman" w:cs="Times New Roman"/>
          <w:sz w:val="28"/>
          <w:szCs w:val="28"/>
        </w:rPr>
        <w:t>=95.45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42" type="#_x0000_t75" style="width:17.25pt;height:15.75pt" o:ole="">
            <v:imagedata r:id="rId34" o:title=""/>
          </v:shape>
          <o:OLEObject Type="Embed" ProgID="Equation.3" ShapeID="_x0000_i1042" DrawAspect="Content" ObjectID="_1523003341" r:id="rId41"/>
        </w:object>
      </w:r>
      <w:r w:rsidRPr="00E24CA7">
        <w:rPr>
          <w:rFonts w:ascii="Times New Roman" w:hAnsi="Times New Roman" w:cs="Times New Roman"/>
          <w:sz w:val="28"/>
          <w:szCs w:val="28"/>
        </w:rPr>
        <w:t>.</w:t>
      </w:r>
    </w:p>
    <w:p w:rsidR="00774167" w:rsidRPr="00E24CA7" w:rsidRDefault="00774167" w:rsidP="00E24C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>В помещении 3 окна суммарной площадью 24</w:t>
      </w:r>
      <w:r w:rsidRPr="00E24CA7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43" type="#_x0000_t75" style="width:17.25pt;height:15.75pt" o:ole="">
            <v:imagedata r:id="rId34" o:title=""/>
          </v:shape>
          <o:OLEObject Type="Embed" ProgID="Equation.3" ShapeID="_x0000_i1043" DrawAspect="Content" ObjectID="_1523003342" r:id="rId42"/>
        </w:object>
      </w:r>
      <w:r w:rsidRPr="00E24CA7">
        <w:rPr>
          <w:rFonts w:ascii="Times New Roman" w:hAnsi="Times New Roman" w:cs="Times New Roman"/>
          <w:sz w:val="28"/>
          <w:szCs w:val="28"/>
        </w:rPr>
        <w:t xml:space="preserve">, </w:t>
      </w:r>
      <w:r w:rsidR="008852A3" w:rsidRPr="00E24CA7">
        <w:rPr>
          <w:rFonts w:ascii="Times New Roman" w:hAnsi="Times New Roman" w:cs="Times New Roman"/>
          <w:sz w:val="28"/>
          <w:szCs w:val="28"/>
        </w:rPr>
        <w:t>следовательно,</w:t>
      </w:r>
      <w:r w:rsidRPr="00E24CA7">
        <w:rPr>
          <w:rFonts w:ascii="Times New Roman" w:hAnsi="Times New Roman" w:cs="Times New Roman"/>
          <w:sz w:val="28"/>
          <w:szCs w:val="28"/>
        </w:rPr>
        <w:t xml:space="preserve">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lastRenderedPageBreak/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AC" w:rsidRDefault="007339AC" w:rsidP="00965BDA">
      <w:pPr>
        <w:spacing w:after="0" w:line="240" w:lineRule="auto"/>
      </w:pPr>
      <w:r>
        <w:separator/>
      </w:r>
    </w:p>
  </w:endnote>
  <w:endnote w:type="continuationSeparator" w:id="0">
    <w:p w:rsidR="007339AC" w:rsidRDefault="007339AC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Content>
      <w:p w:rsidR="00965BDA" w:rsidRDefault="00965BD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084">
          <w:rPr>
            <w:noProof/>
          </w:rPr>
          <w:t>18</w:t>
        </w:r>
        <w:r>
          <w:fldChar w:fldCharType="end"/>
        </w:r>
      </w:p>
    </w:sdtContent>
  </w:sdt>
  <w:p w:rsidR="00965BDA" w:rsidRDefault="00965BD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AC" w:rsidRDefault="007339AC" w:rsidP="00965BDA">
      <w:pPr>
        <w:spacing w:after="0" w:line="240" w:lineRule="auto"/>
      </w:pPr>
      <w:r>
        <w:separator/>
      </w:r>
    </w:p>
  </w:footnote>
  <w:footnote w:type="continuationSeparator" w:id="0">
    <w:p w:rsidR="007339AC" w:rsidRDefault="007339AC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4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3DFC"/>
    <w:rsid w:val="003D6CCE"/>
    <w:rsid w:val="0042466C"/>
    <w:rsid w:val="00441406"/>
    <w:rsid w:val="004468D2"/>
    <w:rsid w:val="004511BF"/>
    <w:rsid w:val="004644A0"/>
    <w:rsid w:val="00466BEA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761CC"/>
    <w:rsid w:val="005815BD"/>
    <w:rsid w:val="00595A91"/>
    <w:rsid w:val="005A58EA"/>
    <w:rsid w:val="005C3E53"/>
    <w:rsid w:val="005C622D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53A10"/>
    <w:rsid w:val="00965BDA"/>
    <w:rsid w:val="00966DD5"/>
    <w:rsid w:val="00967C8C"/>
    <w:rsid w:val="00977734"/>
    <w:rsid w:val="00977C55"/>
    <w:rsid w:val="00997661"/>
    <w:rsid w:val="009D398A"/>
    <w:rsid w:val="009D66A6"/>
    <w:rsid w:val="009F547D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B54D6"/>
    <w:rsid w:val="00BC4C14"/>
    <w:rsid w:val="00BC5E63"/>
    <w:rsid w:val="00BD43AD"/>
    <w:rsid w:val="00BE7422"/>
    <w:rsid w:val="00C144D2"/>
    <w:rsid w:val="00C44C3F"/>
    <w:rsid w:val="00C50D7A"/>
    <w:rsid w:val="00C5105F"/>
    <w:rsid w:val="00C64655"/>
    <w:rsid w:val="00C73538"/>
    <w:rsid w:val="00C73B55"/>
    <w:rsid w:val="00C74ACC"/>
    <w:rsid w:val="00C95F4B"/>
    <w:rsid w:val="00CE2546"/>
    <w:rsid w:val="00CF2A3D"/>
    <w:rsid w:val="00CF46A4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F27336"/>
    <w:rsid w:val="00F438EF"/>
    <w:rsid w:val="00F67245"/>
    <w:rsid w:val="00F67357"/>
    <w:rsid w:val="00F74B20"/>
    <w:rsid w:val="00FA6714"/>
    <w:rsid w:val="00FB4FC8"/>
    <w:rsid w:val="00FD38EF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0781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F3583-3534-44FE-AC42-504B0CC7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20</Pages>
  <Words>3934</Words>
  <Characters>22425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74</cp:revision>
  <dcterms:created xsi:type="dcterms:W3CDTF">2015-11-29T12:28:00Z</dcterms:created>
  <dcterms:modified xsi:type="dcterms:W3CDTF">2016-04-24T08:42:00Z</dcterms:modified>
</cp:coreProperties>
</file>