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0" w:lineRule="auto"/>
        <w:jc w:val="center"/>
        <w:rPr>
          <w:rFonts w:hint="eastAsia" w:ascii="方正楷体_GBK" w:hAnsi="方正楷体_GBK" w:eastAsia="方正楷体_GBK" w:cs="方正楷体_GBK"/>
          <w:sz w:val="120"/>
          <w:szCs w:val="120"/>
        </w:rPr>
      </w:pPr>
      <w:r>
        <w:rPr>
          <w:rFonts w:hint="eastAsia" w:ascii="方正楷体_GBK" w:hAnsi="方正楷体_GBK" w:eastAsia="方正楷体_GBK" w:cs="方正楷体_GBK"/>
          <w:color w:val="FF0000"/>
          <w:sz w:val="120"/>
          <w:szCs w:val="120"/>
        </w:rPr>
        <w:t>每日学思践悟</w:t>
      </w:r>
    </w:p>
    <w:p>
      <w:pPr>
        <w:spacing w:line="480" w:lineRule="exact"/>
        <w:jc w:val="both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446405</wp:posOffset>
                </wp:positionV>
                <wp:extent cx="5384800" cy="0"/>
                <wp:effectExtent l="0" t="19050" r="63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5.15pt;height:0pt;width:424pt;mso-position-horizontal:center;z-index:251659264;mso-width-relative:page;mso-height-relative:page;" filled="f" stroked="t" coordsize="21600,21600" o:gfxdata="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BALItcAAAAGAQAADwAAAAAAAAABACAAAAAiAAAAZHJzL2Rvd25yZXYueG1sUEsB&#10;AhQAFAAAAAgAh07iQGlNApf2AQAA5QMAAA4AAAAAAAAAAQAgAAAAJgEAAGRycy9lMm9Eb2MueG1s&#10;UEsFBgAAAAAGAAYAWQEAAI4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税镇镇宣传办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2023年第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64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期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28"/>
          <w:szCs w:val="28"/>
        </w:rPr>
        <w:t>月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11</w:t>
      </w:r>
      <w:r>
        <w:rPr>
          <w:rFonts w:hint="eastAsia" w:ascii="楷体_GB2312" w:hAnsi="楷体_GB2312" w:eastAsia="楷体_GB2312" w:cs="楷体_GB2312"/>
          <w:sz w:val="28"/>
          <w:szCs w:val="28"/>
        </w:rPr>
        <w:t>日</w:t>
      </w:r>
    </w:p>
    <w:p>
      <w:pPr>
        <w:pStyle w:val="4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/>
        <w:jc w:val="left"/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【治国理政】--</w:t>
      </w:r>
      <w:bookmarkStart w:id="0" w:name="_GoBack"/>
      <w:bookmarkEnd w:id="0"/>
      <w:r>
        <w:rPr>
          <w:rFonts w:hint="eastAsia" w:ascii="楷体" w:hAnsi="楷体" w:eastAsia="楷体" w:cs="楷体"/>
          <w:color w:val="333333"/>
          <w:sz w:val="32"/>
          <w:szCs w:val="32"/>
        </w:rPr>
        <w:t>中共中央办公厅印发《推进领导干部能上能下规定》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新华社</w:t>
      </w:r>
      <w:r>
        <w:rPr>
          <w:rFonts w:ascii="宋体" w:hAnsi="宋体" w:eastAsia="宋体" w:cs="宋体"/>
          <w:color w:val="ABB3BA"/>
          <w:kern w:val="0"/>
          <w:sz w:val="24"/>
          <w:szCs w:val="24"/>
          <w:lang w:val="en-US" w:eastAsia="zh-CN" w:bidi="ar"/>
        </w:rPr>
        <w:t>2022-09-19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新华社北京9月19日电 近日，中共中央办公厅印发了《推进领导干部能上能下规定》（以下简称《规定》），并发出通知，要求各地区各部门认真遵照执行。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通知指出，《规定》以习近平新时代中国特色社会主义思想为指导，贯彻新时代党的建设总要求和新时代党的组织路线，吸收了全面从严治党的新鲜经验，健全能上能下的选人用人机制，对于推动形成能者上、优者奖、庸者下、劣者汰的用人导向和从政环境，建设忠诚干净担当的高素质执政骨干队伍，具有重要意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通知要求，各级党委（党组）及其组织（人事）部门要切实扛起全面从严管党治吏的政治责任，做到真管真严、敢管敢严、长管长严，推进干部能上能下常态化。要坚持严管和厚爱结合、激励和约束并重，做好深入细致思想工作，保护干部干事创业积极性。要加强督促检查，对贯彻落实《规定》不力的，严肃追究责任。执行《规定》中的重要情况和建议，要及时报告党中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《规定》全文如下：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Style w:val="8"/>
          <w:rFonts w:hint="eastAsia" w:ascii="仿宋" w:hAnsi="仿宋" w:eastAsia="仿宋" w:cs="仿宋"/>
          <w:b/>
          <w:bCs/>
          <w:i w:val="0"/>
          <w:iCs w:val="0"/>
          <w:caps w:val="0"/>
          <w:color w:val="333333"/>
          <w:spacing w:val="0"/>
          <w:sz w:val="30"/>
          <w:szCs w:val="30"/>
        </w:rPr>
        <w:t>推进领导干部能上能下规定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（2015年6月26日中共中央政治局会议审议批准 2015年7月19日中共中央办公厅发布 2022年8月19日中共中央政治局常委会会议修订 2022年9月8日中共中央办公厅发布）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第一条 为了全面推进党的政治建设、思想建设、组织建设、作风建设、纪律建设，健全能上能下的选人用人机制，建设德才兼备、忠诚干净担当的高素质专业化干部队伍，完善从严管理干部队伍制度体系，根据《中国共产党组织工作条例》《党政领导干部选拔任用工作条例》等党内法规和《中华人民共和国公务员法》等法律，制定本规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第二条 推进领导干部能上能下，坚持以习近平新时代中国特色社会主义思想为指导，贯彻新时代党的建设总要求和新时代党的组织路线，落实新时代好干部标准，坚持党要管党、全面从严治党，坚持实事求是、公道正派，坚持事业为上、人事相宜，坚持依法依规、积极稳妥，着力解决不担当、不作为、乱作为等问题，促使领导干部自觉践行“三严三实”要求，推动形成能者上、优者奖、庸者下、劣者汰的用人导向和从政环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第三条 本规定适用于各级党的机关、人大机关、行政机关、政协机关、监察机关、审判机关、检察机关，以及列入公务员法管理的其他机关和参照公务员法管理的机关（单位）中担任领导职务的干部。国有企业、事业单位中担任领导职务的人员，参照本规定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第四条 推进领导干部能上能下，重点是解决能下问题。应当结合实际分类施策，严格执行问责、党纪政务处分、组织处理、辞职、职务任期、退休等有关制度规定，畅通干部下的渠道。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本规定主要规范对不适宜担任现职干部的领导职务所作的组织调整。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第五条 不适宜担任现职，主要指干部的德、能、勤、绩、廉与所任职务要求不符，不宜在现岗位继续任职。干部具有下列情形之一，被认定为不适宜担任现职，应当及时予以调整：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（一）政治能力不过硬，缺乏应有的政治判断力、政治领悟力、政治执行力，在不折不扣贯彻落实党中央决策部署、结合实际推动落地见效上存在明显差距的；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（二）理想信念动摇，在涉及党的领导、中国特色社会主义制度等重大原则问题上立场不坚定、态度暧昧，关键时刻经不住考验的；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（三）担当和斗争精神不强，在事关党和国家利益、人民群众生命财产安全等紧要关头临阵退缩，在急难险重任务、重大风险考验面前消极逃避或者应对处置不力的；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四）政绩观存在偏差，不能坚持以人民为中心的发展思想，不能准确把握新发展阶段、完整准确全面贯彻新发展理念，在构建新发展格局、推动高质量发展上不积极不作为，搞“形象工程”“政绩工程”乱作为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（五）违背党的民主集中制原则，独断专行或者软弱涣散、自行其是，不执行或者擅自改变组织作出的决定，在领导班子中闹无原则纠纷，或者任人唯亲、拉帮结派，破坏所在地方、单位政治生态的；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（六）组织观念淡薄，不严格执行重大事项请示报告、个人有关事项报告等制度，无正当理由拒不执行组织的分配、调动、交流等决定的；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（七）事业心和责任感不强，精神状态差，对职责范围内的事项敷衍塞责，对群众急难愁盼问题不上心、不尽力，工作推拖绕躲、贻误事业发展的；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（八）领导能力不足，不能有效履行职责、按要求完成目标任务，重大战略、重要改革、重点工作推进不力，所负责的工作较长时间处于落后状态或者出现较大失误的；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（九）违规决策或者决策论证不充分、不慎重，造成公共资金、国有资产、国有资源损失浪费，生态环境破坏，公共利益损害等后果的；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（十）作风不严不实，执行中央八项规定精神不严格，形式主义、官僚主义问题突出，造成不良影响的；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（十一）品行不端，行为失范，违背社会公德、职业道德、家庭美德，造成不良影响的；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（十二）因存在配偶、子女移居国（境）外，配偶、子女及其配偶经商办企业等情况，按照有关规定需要组织调整的；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（十三）年度考核被确定为不称职，或者连续两年被确定为基本称职，以及民主测评优秀和称职得票率达不到三分之二，经认定确属不适宜担任现职的；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（十四）因健康原因无法正常履行工作职责1年以上的；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（十五）其他不适宜担任现职的情形。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第六条 党委（党组）及其组织（人事）部门按照干部管理权限，履行组织调整的有关职责。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各级组织（人事）部门应当把功夫下在平时，深化对干部的日常了解，定期分析研判考核考察、巡视巡察、审计、统计、个人有关事项报告、民主评议、信访举报等有关领导班子和干部队伍情况，动态掌握干部现实表现，对存在苗头性、倾向性或者轻微问题的，及时予以提醒、谈话、函询、批评教育、责令检查或者诫勉，对不适宜担任现职的及时启动调整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第七条 调整不适宜担任现职干部，一般按照以下程序进行：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一）核实认定。组织（人事）部门综合分析各方面情况，对不适宜担任现职的情形进行核实，作出客观评价和准确认定。注重听取群众反映、了解群众口碑，特别是听取工作对象、服务对象等相关人员的意见。必要时可以与干部本人谈话听取说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（二）提出建议。组织（人事）部门根据调查核实和分析研判结果，对不适宜担任现职干部提出调整建议。调整建议包括调整原因、调整方式、安排去向等内容。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（三）组织决定。党委（党组）召开会议集体研究，作出调整决定。作出决定前，应当听取有关方面意见。涉及干部双重管理的，主管方应当按照有关规定程序征求协管方意见。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（四）谈话。党委（党组）或者组织（人事）部门负责同志与调整对象进行谈话，宣布组织决定，认真细致做好思想工作。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（五）按照有关规定履行任免程序。一般在1个月内办理调整干部工资、待遇等方面的手续。对选举和依法任免的干部，按照有关法律法规、章程和规定的程序进行。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第八条 干部本人对调整决定不服的，可以按照有关规定申请复核或者提出申诉。复核、申诉期间不停止调整决定的执行。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第九条 对不适宜担任现职干部，应当根据其一贯表现和工作需要，区分不同情形，采取平职调整、转任职级公务员、免职、降职等方式予以调整，符合提前退休条件的可以办理提前退休。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对非个人原因或者健康原因不能胜任现职岗位的，应当从事业需要和关心爱护干部出发，予以妥善安排。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调整不适宜担任现职干部，原则上在职数范围内安排。暂时超职数的，应当报经上一级党委组织部门和机构编制部门同意，并明确消化时限，一般应在1年内消化。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第十条 对被调整的干部，应当跟踪了解其思想动态和工作状况，有针对性地做好教育管理工作。根据工作需要，对认真汲取教训、积极努力工作，德才表现和工作实绩突出且经考察符合任职条件的，可以进一步使用、晋升职级或者提拔职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第十一条 各级组织（人事）部门应当对不适宜担任现职干部的调整原因、安排方式和后续管理等情况进行纪实，每年1月底前向上一级党委组织部门报备上年度相关情况。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第十二条 健全和落实推进领导干部能上能下工作责任制，党委（党组）应当坚决扛起主体责任，党委（党组）书记应当切实履行第一责任人的责任，组织（人事）部门应当自觉承担具体工作责任，坚持原则、敢于负责，做到真管真严、敢管敢严、长管长严，结合日常干部选拔任用、管理监督、领导班子换届等工作，推进能上能下常态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第十三条 坚持严管和厚爱结合、激励和约束并重，落实“三个区分开来”要求，正确把握政策界限，保护干部干事创业、改革创新的积极性，宽容改革探索、先行先试等工作中的失误。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第十四条 严明推进领导干部能上能下工作纪律，不得搞好人主义，不得避重就轻、以党纪政务处分规避组织调整或者以组织调整代替党纪政务处分，不得借机打击报复。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第十五条 积极营造推进领导干部能上能下的制度环境和舆论氛围，加强督促检查，把本规定执行情况纳入党委（党组）履行全面从严治党主体责任、“一报告两评议”、巡视巡察、选人用人专项检查等内容，纳入党委（党组）书记年度考核述职内容。对严重不负责任，或者违反有关工作纪律要求的，应当追究党委（党组）及其组织（人事）部门主要负责人和有关领导成员、直接责任人的责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第十六条 各地区各部门可以根据本规定，结合自身实际，制定实施细则。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第十七条 本规定由中央组织部负责解释。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both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30"/>
          <w:szCs w:val="30"/>
        </w:rPr>
        <w:t>第十八条 本规定自发布之日起施行。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楷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lZmMxMzVhYjVmZjJhZjVlYjI5ZjQzMTdhYjFlZTcifQ=="/>
  </w:docVars>
  <w:rsids>
    <w:rsidRoot w:val="78322C46"/>
    <w:rsid w:val="7832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2023-09-10T23:02:00Z</dcterms:created>
  <dc:creator>Administrator</dc:creator>
  <cp:lastModifiedBy>Administrator</cp:lastModifiedBy>
  <cp:lastPrinted>2023-09-10T23:04:33Z</cp:lastPrinted>
  <dcterms:modified xsi:type="dcterms:W3CDTF">2023-09-10T23:06:02Z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CC04F81CCFA44A8796086F543E4EABB7_11</vt:lpwstr>
  </property>
</Properties>
</file>