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920" w:lineRule="auto"/>
        <w:jc w:val="center"/>
        <w:rPr>
          <w:rFonts w:hint="eastAsia" w:ascii="方正楷体_GBK" w:hAnsi="方正楷体_GBK" w:eastAsia="方正楷体_GBK" w:cs="方正楷体_GBK"/>
          <w:sz w:val="120"/>
          <w:szCs w:val="120"/>
        </w:rPr>
      </w:pPr>
      <w:r>
        <w:rPr>
          <w:rFonts w:hint="eastAsia" w:ascii="方正楷体_GBK" w:hAnsi="方正楷体_GBK" w:eastAsia="方正楷体_GBK" w:cs="方正楷体_GBK"/>
          <w:color w:val="FF0000"/>
          <w:sz w:val="120"/>
          <w:szCs w:val="120"/>
        </w:rPr>
        <w:t>每日学思践悟</w:t>
      </w:r>
    </w:p>
    <w:p>
      <w:pPr>
        <w:spacing w:line="480" w:lineRule="exact"/>
        <w:jc w:val="both"/>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446405</wp:posOffset>
                </wp:positionV>
                <wp:extent cx="5384800" cy="0"/>
                <wp:effectExtent l="0" t="19050" r="6350" b="19050"/>
                <wp:wrapNone/>
                <wp:docPr id="1" name="直接连接符 1"/>
                <wp:cNvGraphicFramePr/>
                <a:graphic xmlns:a="http://schemas.openxmlformats.org/drawingml/2006/main">
                  <a:graphicData uri="http://schemas.microsoft.com/office/word/2010/wordprocessingShape">
                    <wps:wsp>
                      <wps:cNvCnPr/>
                      <wps:spPr>
                        <a:xfrm>
                          <a:off x="0" y="0"/>
                          <a:ext cx="5384800" cy="0"/>
                        </a:xfrm>
                        <a:prstGeom prst="line">
                          <a:avLst/>
                        </a:prstGeom>
                        <a:ln w="38100" cap="flat" cmpd="sng">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margin-top:35.15pt;height:0pt;width:424pt;mso-position-horizontal:center;z-index:251659264;mso-width-relative:page;mso-height-relative:page;" filled="f" stroked="t" coordsize="21600,21600" o:gfxdata="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BALItcAAAAGAQAADwAAAAAAAAABACAAAAAiAAAAZHJzL2Rvd25yZXYueG1sUEsB&#10;AhQAFAAAAAgAh07iQGlNApf2AQAA5QMAAA4AAAAAAAAAAQAgAAAAJgEAAGRycy9lMm9Eb2MueG1s&#10;UEsFBgAAAAAGAAYAWQEAAI4FAAAAAA==&#10;">
                <v:fill on="f" focussize="0,0"/>
                <v:stroke weight="3pt" color="#FF0000" joinstyle="round"/>
                <v:imagedata o:title=""/>
                <o:lock v:ext="edit" aspectratio="f"/>
              </v:line>
            </w:pict>
          </mc:Fallback>
        </mc:AlternateContent>
      </w:r>
      <w:r>
        <w:rPr>
          <w:rFonts w:hint="eastAsia" w:ascii="楷体_GB2312" w:hAnsi="楷体_GB2312" w:eastAsia="楷体_GB2312" w:cs="楷体_GB2312"/>
          <w:sz w:val="28"/>
          <w:szCs w:val="28"/>
          <w:lang w:eastAsia="zh-CN"/>
        </w:rPr>
        <w:t>税镇镇宣传办</w:t>
      </w:r>
      <w:r>
        <w:rPr>
          <w:rFonts w:hint="eastAsia" w:ascii="楷体_GB2312" w:hAnsi="楷体_GB2312" w:eastAsia="楷体_GB2312" w:cs="楷体_GB2312"/>
          <w:sz w:val="28"/>
          <w:szCs w:val="28"/>
        </w:rPr>
        <w:t xml:space="preserve">    </w:t>
      </w:r>
      <w:r>
        <w:rPr>
          <w:rFonts w:hint="eastAsia" w:ascii="楷体_GB2312" w:hAnsi="楷体_GB2312" w:eastAsia="楷体_GB2312" w:cs="楷体_GB2312"/>
          <w:sz w:val="28"/>
          <w:szCs w:val="28"/>
          <w:lang w:val="en-US" w:eastAsia="zh-CN"/>
        </w:rPr>
        <w:t xml:space="preserve">     </w:t>
      </w:r>
      <w:r>
        <w:rPr>
          <w:rFonts w:hint="eastAsia" w:ascii="楷体_GB2312" w:hAnsi="楷体_GB2312" w:eastAsia="楷体_GB2312" w:cs="楷体_GB2312"/>
          <w:sz w:val="28"/>
          <w:szCs w:val="28"/>
        </w:rPr>
        <w:t xml:space="preserve">  2023年第</w:t>
      </w:r>
      <w:r>
        <w:rPr>
          <w:rFonts w:hint="eastAsia" w:ascii="楷体_GB2312" w:hAnsi="楷体_GB2312" w:eastAsia="楷体_GB2312" w:cs="楷体_GB2312"/>
          <w:sz w:val="28"/>
          <w:szCs w:val="28"/>
          <w:lang w:val="en-US" w:eastAsia="zh-CN"/>
        </w:rPr>
        <w:t>77</w:t>
      </w:r>
      <w:r>
        <w:rPr>
          <w:rFonts w:hint="eastAsia" w:ascii="楷体_GB2312" w:hAnsi="楷体_GB2312" w:eastAsia="楷体_GB2312" w:cs="楷体_GB2312"/>
          <w:sz w:val="28"/>
          <w:szCs w:val="28"/>
        </w:rPr>
        <w:t xml:space="preserve">期    </w:t>
      </w:r>
      <w:r>
        <w:rPr>
          <w:rFonts w:hint="eastAsia" w:ascii="楷体_GB2312" w:hAnsi="楷体_GB2312" w:eastAsia="楷体_GB2312" w:cs="楷体_GB2312"/>
          <w:sz w:val="28"/>
          <w:szCs w:val="28"/>
          <w:lang w:val="en-US" w:eastAsia="zh-CN"/>
        </w:rPr>
        <w:t xml:space="preserve">     </w:t>
      </w:r>
      <w:r>
        <w:rPr>
          <w:rFonts w:hint="eastAsia" w:ascii="楷体_GB2312" w:hAnsi="楷体_GB2312" w:eastAsia="楷体_GB2312" w:cs="楷体_GB2312"/>
          <w:sz w:val="28"/>
          <w:szCs w:val="28"/>
        </w:rPr>
        <w:t xml:space="preserve">     </w:t>
      </w:r>
      <w:r>
        <w:rPr>
          <w:rFonts w:hint="eastAsia" w:ascii="楷体_GB2312" w:hAnsi="楷体_GB2312" w:eastAsia="楷体_GB2312" w:cs="楷体_GB2312"/>
          <w:sz w:val="28"/>
          <w:szCs w:val="28"/>
          <w:lang w:val="en-US" w:eastAsia="zh-CN"/>
        </w:rPr>
        <w:t>10</w:t>
      </w:r>
      <w:r>
        <w:rPr>
          <w:rFonts w:hint="eastAsia" w:ascii="楷体_GB2312" w:hAnsi="楷体_GB2312" w:eastAsia="楷体_GB2312" w:cs="楷体_GB2312"/>
          <w:sz w:val="28"/>
          <w:szCs w:val="28"/>
        </w:rPr>
        <w:t>月</w:t>
      </w:r>
      <w:r>
        <w:rPr>
          <w:rFonts w:hint="eastAsia" w:ascii="楷体_GB2312" w:hAnsi="楷体_GB2312" w:eastAsia="楷体_GB2312" w:cs="楷体_GB2312"/>
          <w:sz w:val="28"/>
          <w:szCs w:val="28"/>
          <w:lang w:val="en-US" w:eastAsia="zh-CN"/>
        </w:rPr>
        <w:t>10</w:t>
      </w:r>
      <w:bookmarkStart w:id="0" w:name="_GoBack"/>
      <w:bookmarkEnd w:id="0"/>
      <w:r>
        <w:rPr>
          <w:rFonts w:hint="eastAsia" w:ascii="楷体_GB2312" w:hAnsi="楷体_GB2312" w:eastAsia="楷体_GB2312" w:cs="楷体_GB2312"/>
          <w:sz w:val="28"/>
          <w:szCs w:val="28"/>
        </w:rPr>
        <w:t>日</w:t>
      </w:r>
    </w:p>
    <w:p>
      <w:pPr>
        <w:pStyle w:val="2"/>
        <w:rPr>
          <w:rFonts w:hint="eastAsia"/>
        </w:rPr>
      </w:pPr>
    </w:p>
    <w:p>
      <w:pPr>
        <w:ind w:firstLine="602" w:firstLineChars="200"/>
        <w:rPr>
          <w:rFonts w:hint="eastAsia" w:ascii="仿宋" w:hAnsi="仿宋" w:eastAsia="仿宋" w:cs="仿宋"/>
          <w:b/>
          <w:color w:val="333333"/>
          <w:sz w:val="30"/>
          <w:szCs w:val="30"/>
          <w:lang w:val="en-US" w:eastAsia="zh-CN"/>
        </w:rPr>
      </w:pPr>
      <w:r>
        <w:rPr>
          <w:rFonts w:hint="eastAsia" w:ascii="仿宋" w:hAnsi="仿宋" w:eastAsia="仿宋" w:cs="仿宋"/>
          <w:b/>
          <w:color w:val="333333"/>
          <w:sz w:val="30"/>
          <w:szCs w:val="30"/>
        </w:rPr>
        <w:t>【</w:t>
      </w:r>
      <w:r>
        <w:rPr>
          <w:rFonts w:hint="eastAsia" w:ascii="仿宋" w:hAnsi="仿宋" w:eastAsia="仿宋" w:cs="仿宋"/>
          <w:b/>
          <w:color w:val="333333"/>
          <w:sz w:val="30"/>
          <w:szCs w:val="30"/>
          <w:lang w:eastAsia="zh-CN"/>
        </w:rPr>
        <w:t>主题教育</w:t>
      </w:r>
      <w:r>
        <w:rPr>
          <w:rFonts w:hint="eastAsia" w:ascii="仿宋" w:hAnsi="仿宋" w:eastAsia="仿宋" w:cs="仿宋"/>
          <w:b/>
          <w:color w:val="333333"/>
          <w:sz w:val="30"/>
          <w:szCs w:val="30"/>
        </w:rPr>
        <w:t>】--</w:t>
      </w:r>
      <w:r>
        <w:rPr>
          <w:rFonts w:hint="eastAsia" w:ascii="仿宋" w:hAnsi="仿宋" w:eastAsia="仿宋" w:cs="仿宋"/>
          <w:b/>
          <w:color w:val="333333"/>
          <w:sz w:val="30"/>
          <w:szCs w:val="30"/>
          <w:lang w:val="en-US" w:eastAsia="zh-CN"/>
        </w:rPr>
        <w:t>全省学习学习贯彻习近平新时代中国特色社会主义思想主题教育第一批总结暨第二批部署会精神</w:t>
      </w:r>
    </w:p>
    <w:p>
      <w:pPr>
        <w:widowControl/>
        <w:spacing w:line="420" w:lineRule="exact"/>
        <w:ind w:firstLine="602" w:firstLineChars="200"/>
        <w:rPr>
          <w:rFonts w:hint="eastAsia" w:ascii="仿宋" w:hAnsi="仿宋" w:eastAsia="仿宋" w:cs="仿宋"/>
          <w:b/>
          <w:color w:val="333333"/>
          <w:sz w:val="30"/>
          <w:szCs w:val="30"/>
          <w:lang w:val="en-US" w:eastAsia="zh-CN"/>
        </w:rPr>
      </w:pPr>
    </w:p>
    <w:p>
      <w:pPr>
        <w:ind w:firstLine="600" w:firstLineChars="200"/>
        <w:rPr>
          <w:rFonts w:hint="eastAsia" w:ascii="仿宋" w:hAnsi="仿宋" w:eastAsia="仿宋" w:cs="仿宋"/>
          <w:b w:val="0"/>
          <w:bCs/>
          <w:color w:val="333333"/>
          <w:sz w:val="30"/>
          <w:szCs w:val="30"/>
          <w:lang w:val="en-US" w:eastAsia="zh-CN"/>
        </w:rPr>
      </w:pPr>
      <w:r>
        <w:rPr>
          <w:rFonts w:hint="eastAsia" w:ascii="仿宋" w:hAnsi="仿宋" w:eastAsia="仿宋" w:cs="仿宋"/>
          <w:b w:val="0"/>
          <w:bCs/>
          <w:color w:val="333333"/>
          <w:sz w:val="30"/>
          <w:szCs w:val="30"/>
          <w:lang w:val="en-US" w:eastAsia="zh-CN"/>
        </w:rPr>
        <w:t>9 月8 日下午，全省学习贯彻习近平新时代中国特色社会主义思想主题教育第一批总结暨第二批部署会议在合肥召开。会议传达学习了中央学习贯彻习近平新时代中国特色社会主义思想主题教育第一批总结暨第二批部署会议精神。省委书记韩俊、中央第六巡回指导组组长杜家毫出席会议并讲话。省委副书记、省长王清宪主持会议，省政协主席唐良智、中央第六巡回指导组副组长陈超英出席。省委常委，省人大常委会、省政府、省政协负责同志，省高院院长、省检察院检察长参加会议。</w:t>
      </w:r>
    </w:p>
    <w:p>
      <w:pPr>
        <w:ind w:firstLine="600" w:firstLineChars="200"/>
        <w:rPr>
          <w:rFonts w:hint="eastAsia" w:ascii="仿宋" w:hAnsi="仿宋" w:eastAsia="仿宋" w:cs="仿宋"/>
          <w:b w:val="0"/>
          <w:bCs/>
          <w:color w:val="333333"/>
          <w:sz w:val="30"/>
          <w:szCs w:val="30"/>
          <w:lang w:val="en-US" w:eastAsia="zh-CN"/>
        </w:rPr>
      </w:pPr>
      <w:r>
        <w:rPr>
          <w:rFonts w:hint="eastAsia" w:ascii="仿宋" w:hAnsi="仿宋" w:eastAsia="仿宋" w:cs="仿宋"/>
          <w:b w:val="0"/>
          <w:bCs/>
          <w:color w:val="333333"/>
          <w:sz w:val="30"/>
          <w:szCs w:val="30"/>
          <w:lang w:val="en-US" w:eastAsia="zh-CN"/>
        </w:rPr>
        <w:t>韩俊在讲话中指出，在全党深入开展学习贯彻习近平新时代中国特色社会主义思想主题教育，是贯彻落实党的二十大精神的重大举措。第一批主题教育开展以来，省委坚决贯彻党中央部署要求，在中央第六指导组的有力指导下，把开展好主题教育作为重大政治任务，牢牢把握主题教育总要求、根本任务和具体目标，组织推动第一批单位落细落实重点举措，着力在“凝心铸魂筑牢根本、锤炼品格强化忠诚、实干担当促进发展、践行宗旨为民造福、廉洁奉公树立新风”上下功夫、见实效，做到以学铸魂、以学增智、以学正风、以学促干。我们始终坚持以上率下、高位推动，坚持“学”字当头、“干”字为要，坚持深入一线、调查研究，坚持问题导向、注重实效，坚持力戒形式主义、官僚主义，坚持同题共答、同向发力，广大党员干部政治品格受到深刻淬炼、思想根基进一步夯实，办成了一批为民造福的实事好事，高质量发展迈出坚实步伐，政治生态持续向优向好。</w:t>
      </w:r>
    </w:p>
    <w:p>
      <w:pPr>
        <w:ind w:firstLine="600" w:firstLineChars="200"/>
        <w:rPr>
          <w:rFonts w:hint="eastAsia" w:ascii="仿宋" w:hAnsi="仿宋" w:eastAsia="仿宋" w:cs="仿宋"/>
          <w:b w:val="0"/>
          <w:bCs/>
          <w:color w:val="333333"/>
          <w:sz w:val="30"/>
          <w:szCs w:val="30"/>
          <w:lang w:val="en-US" w:eastAsia="zh-CN"/>
        </w:rPr>
      </w:pPr>
      <w:r>
        <w:rPr>
          <w:rFonts w:hint="eastAsia" w:ascii="仿宋" w:hAnsi="仿宋" w:eastAsia="仿宋" w:cs="仿宋"/>
          <w:b w:val="0"/>
          <w:bCs/>
          <w:color w:val="333333"/>
          <w:sz w:val="30"/>
          <w:szCs w:val="30"/>
          <w:lang w:val="en-US" w:eastAsia="zh-CN"/>
        </w:rPr>
        <w:t>韩俊强调，全省各级党组织要认真学习贯彻习近平总书记重要讲话重要指示精神，全面落实中央总结部署会议要求，紧密结合实际，以高度负责的精神把第二批主题教育科学谋划好、精心组织好小要把准目标要求，坚定正确方向，牢牢把握“学思想、强党性、重实践、建新功”总要求，一体推进理论学习、调查研究、推动发展、检视整改、建章立制等工作,要加强分类指导，突出县处级以上领导班子和领导干部这个重点，针对各层级各领域以及各类群体党员特点，科学合理作出安排，推动第二批主题教育单位在落实基本要求的前提下找准各自的着力点，确保精准高效3要紧盯突出问题，聚焦解决影响制约高质量发展的问题、人民群众急难愁盼问题、防范化解重大风险隐患问题，加强调查研究，抓好专项整治，善于抓住典型案例“解剖麻雀”，推动真改实改.4要注重衔接联动，搞好第一批主题教育同第二批主题教育相关工作的承接落实，协同推进问题整改，促进上下贯通~要力戒形式主义、官僚主义，始终绷紧讲政治这根弦，多在谋实招求实效上想办法下功夫，坚决不做表面文章，以严实作风确保主题教育的政治性和严肃性。</w:t>
      </w:r>
    </w:p>
    <w:p>
      <w:pPr>
        <w:ind w:firstLine="600" w:firstLineChars="200"/>
        <w:rPr>
          <w:rFonts w:hint="eastAsia" w:ascii="仿宋" w:hAnsi="仿宋" w:eastAsia="仿宋" w:cs="仿宋"/>
          <w:b w:val="0"/>
          <w:bCs/>
          <w:color w:val="333333"/>
          <w:sz w:val="30"/>
          <w:szCs w:val="30"/>
          <w:lang w:val="en-US" w:eastAsia="zh-CN"/>
        </w:rPr>
      </w:pPr>
      <w:r>
        <w:rPr>
          <w:rFonts w:hint="eastAsia" w:ascii="仿宋" w:hAnsi="仿宋" w:eastAsia="仿宋" w:cs="仿宋"/>
          <w:b w:val="0"/>
          <w:bCs/>
          <w:color w:val="333333"/>
          <w:sz w:val="30"/>
          <w:szCs w:val="30"/>
          <w:lang w:val="en-US" w:eastAsia="zh-CN"/>
        </w:rPr>
        <w:t>韩俊指出，全省各级党委（党组）要切实加强对第二批主题教育的组织领导，提高政治站位，周密安排部署，狠抓工作落实，确保善始善终、善作善成。Q要拧紧责任链条，各省辖市委要扛起主体责任，主要负责同志要认真履行第一责任人职责，分管负责同志要履行“一岗双责”，行业系统主管部门党组（党委）要落实分级分类指导责任。要强化督促指导，组建省委巡回督导组，采取一竿子插到底的方式开展分类指导、严督实导.赛突出统筹兼顾，坚持两手抓、两促进，把主题教育成果转化为锤炼党性的高度自觉、干事创业的强大动力、推动高质量发展的实际成效.@要加强宣传引导，采取党员、群众喜闻乐见的形式，用身边榜样引导身边党员，以身边事教育身边人，确保主题教育取得实实在在的成效，为全面建设现代化美好安徽注入强劲动力。</w:t>
      </w:r>
    </w:p>
    <w:p>
      <w:pPr>
        <w:ind w:firstLine="600" w:firstLineChars="200"/>
        <w:rPr>
          <w:rFonts w:hint="eastAsia" w:ascii="仿宋" w:hAnsi="仿宋" w:eastAsia="仿宋" w:cs="仿宋"/>
          <w:b w:val="0"/>
          <w:bCs/>
          <w:color w:val="333333"/>
          <w:sz w:val="30"/>
          <w:szCs w:val="30"/>
          <w:lang w:val="en-US" w:eastAsia="zh-CN"/>
        </w:rPr>
      </w:pPr>
      <w:r>
        <w:rPr>
          <w:rFonts w:hint="eastAsia" w:ascii="仿宋" w:hAnsi="仿宋" w:eastAsia="仿宋" w:cs="仿宋"/>
          <w:b w:val="0"/>
          <w:bCs/>
          <w:color w:val="333333"/>
          <w:sz w:val="30"/>
          <w:szCs w:val="30"/>
          <w:lang w:val="en-US" w:eastAsia="zh-CN"/>
        </w:rPr>
        <w:t>杜家毫指出，安徽省委坚决贯彻党中央决策部署，深入学习贯彻习近平新时代中国特色社会主义思想，紧扣“学思想，强党性、重实践、建新功”总要求，切实担负主题教育主体责任，省委常委会坚持以身作则发挥示范带动作用，坚持目标导向、问题导向、效果导向相统一，把理论学习、调查研究、推动发展、检视整改贯通起来，把为民办实事作为主题教育的重要内容，工作举措落实到位，服务大局效果明显，干部群众评价良好，第一批主题教育取得明显成效。在第二批主题教育中，要深入学习贯彻习近平总书记关于主题教育重要讲话和重要指示批示精神，准确把握目标要求，更加注重分类指导，认真解决实际问题，切实抓好统筹衔接，坚决防止形式主义、官僚主义，把搞好主题教育与全面完成今年各项工作任务紧密结合起来，两手抓、两促进，确保主题教育不偏向、见实效，用安徽省经济社会高质量发展的实际成果检验主题教育成效。</w:t>
      </w:r>
    </w:p>
    <w:p>
      <w:pPr>
        <w:ind w:firstLine="600" w:firstLineChars="200"/>
        <w:rPr>
          <w:rFonts w:hint="eastAsia" w:ascii="仿宋" w:hAnsi="仿宋" w:eastAsia="仿宋" w:cs="仿宋"/>
          <w:b w:val="0"/>
          <w:bCs/>
          <w:color w:val="333333"/>
          <w:sz w:val="30"/>
          <w:szCs w:val="30"/>
          <w:lang w:val="en-US" w:eastAsia="zh-CN"/>
        </w:rPr>
      </w:pPr>
      <w:r>
        <w:rPr>
          <w:rFonts w:hint="eastAsia" w:ascii="仿宋" w:hAnsi="仿宋" w:eastAsia="仿宋" w:cs="仿宋"/>
          <w:b w:val="0"/>
          <w:bCs/>
          <w:color w:val="333333"/>
          <w:sz w:val="30"/>
          <w:szCs w:val="30"/>
          <w:lang w:val="en-US" w:eastAsia="zh-CN"/>
        </w:rPr>
        <w:t>王清宪在主持会议时强调，要全面落实好中央及省委部署要求，坚持好、运用好第一批主题教育的有效做法和成功经验，善始善终抓好问题整改特别是专项整治，持续推动第一批主题教育巩固提升。要高标准高质量开展好第二批主题教育，针对不同层级、不同领域、不同对象特点加强分类指导，注重解决实际问题，确保整个主题教育衔接有序、持续推进、取得实效。要强化学以致用，着力通过主题教育推动打造“三地一区”、建设“七个强省”取得显著进展。</w:t>
      </w:r>
    </w:p>
    <w:p>
      <w:pPr>
        <w:ind w:firstLine="600" w:firstLineChars="200"/>
        <w:rPr>
          <w:rFonts w:hint="eastAsia" w:ascii="仿宋" w:hAnsi="仿宋" w:eastAsia="仿宋" w:cs="仿宋"/>
          <w:b w:val="0"/>
          <w:bCs/>
          <w:color w:val="333333"/>
          <w:sz w:val="30"/>
          <w:szCs w:val="30"/>
          <w:lang w:val="en-US" w:eastAsia="zh-CN"/>
        </w:rPr>
      </w:pPr>
      <w:r>
        <w:rPr>
          <w:rFonts w:hint="eastAsia" w:ascii="仿宋" w:hAnsi="仿宋" w:eastAsia="仿宋" w:cs="仿宋"/>
          <w:b w:val="0"/>
          <w:bCs/>
          <w:color w:val="333333"/>
          <w:sz w:val="30"/>
          <w:szCs w:val="30"/>
          <w:lang w:val="en-US" w:eastAsia="zh-CN"/>
        </w:rPr>
        <w:t>会议以电视电话会议形式召开。中央第六巡回指导组成员，省委各部委、省直各单位党组（党委）主要负责同志，省委主题教育领导小组成员，在肥省属高校和省属企业党组（党委）主要负责同志，第一批、第二批主题教育省委巡回指导组（督导组）组长、副组长等在主会场参加会议。各省辖市设分会场。</w:t>
      </w:r>
    </w:p>
    <w:p>
      <w:pPr>
        <w:pStyle w:val="3"/>
        <w:keepNext w:val="0"/>
        <w:keepLines w:val="0"/>
        <w:widowControl/>
        <w:suppressLineNumbers w:val="0"/>
        <w:spacing w:before="0" w:beforeAutospacing="0" w:after="0" w:afterAutospacing="0"/>
        <w:ind w:left="0" w:right="0"/>
        <w:jc w:val="left"/>
        <w:rPr>
          <w:rFonts w:hint="eastAsia" w:ascii="仿宋" w:hAnsi="仿宋" w:eastAsia="仿宋" w:cs="仿宋"/>
          <w:b/>
          <w:color w:val="333333"/>
          <w:sz w:val="30"/>
          <w:szCs w:val="30"/>
        </w:rPr>
      </w:pPr>
      <w:r>
        <w:rPr>
          <w:rFonts w:hint="eastAsia" w:ascii="仿宋" w:hAnsi="仿宋" w:eastAsia="仿宋" w:cs="仿宋"/>
          <w:b/>
          <w:color w:val="333333"/>
          <w:sz w:val="30"/>
          <w:szCs w:val="30"/>
        </w:rPr>
        <w:t>古韵新声|观乎天文，以察时变；观乎人文，以化成天下</w:t>
      </w:r>
    </w:p>
    <w:p>
      <w:pPr>
        <w:ind w:firstLine="600" w:firstLineChars="200"/>
        <w:rPr>
          <w:rFonts w:hint="eastAsia" w:ascii="仿宋" w:hAnsi="仿宋" w:eastAsia="仿宋" w:cs="仿宋"/>
          <w:b w:val="0"/>
          <w:bCs/>
          <w:color w:val="333333"/>
          <w:sz w:val="30"/>
          <w:szCs w:val="30"/>
          <w:lang w:val="en-US" w:eastAsia="zh-CN"/>
        </w:rPr>
      </w:pPr>
      <w:r>
        <w:rPr>
          <w:rFonts w:hint="eastAsia" w:ascii="仿宋" w:hAnsi="仿宋" w:eastAsia="仿宋" w:cs="仿宋"/>
          <w:b w:val="0"/>
          <w:bCs/>
          <w:color w:val="333333"/>
          <w:sz w:val="30"/>
          <w:szCs w:val="30"/>
          <w:lang w:val="en-US" w:eastAsia="zh-CN"/>
        </w:rPr>
        <w:t>江苏学习平台</w:t>
      </w:r>
    </w:p>
    <w:p>
      <w:pPr>
        <w:ind w:firstLine="600" w:firstLineChars="200"/>
        <w:rPr>
          <w:rFonts w:hint="eastAsia" w:ascii="仿宋" w:hAnsi="仿宋" w:eastAsia="仿宋" w:cs="仿宋"/>
          <w:b w:val="0"/>
          <w:bCs/>
          <w:color w:val="333333"/>
          <w:sz w:val="30"/>
          <w:szCs w:val="30"/>
          <w:lang w:val="en-US" w:eastAsia="zh-CN"/>
        </w:rPr>
      </w:pPr>
      <w:r>
        <w:rPr>
          <w:rFonts w:hint="eastAsia" w:ascii="仿宋" w:hAnsi="仿宋" w:eastAsia="仿宋" w:cs="仿宋"/>
          <w:b w:val="0"/>
          <w:bCs/>
          <w:color w:val="333333"/>
          <w:sz w:val="30"/>
          <w:szCs w:val="30"/>
          <w:lang w:val="en-US" w:eastAsia="zh-CN"/>
        </w:rPr>
        <w:t>【原典】</w:t>
      </w:r>
    </w:p>
    <w:p>
      <w:pPr>
        <w:ind w:firstLine="600" w:firstLineChars="200"/>
        <w:rPr>
          <w:rFonts w:hint="eastAsia" w:ascii="仿宋" w:hAnsi="仿宋" w:eastAsia="仿宋" w:cs="仿宋"/>
          <w:b w:val="0"/>
          <w:bCs/>
          <w:color w:val="333333"/>
          <w:sz w:val="30"/>
          <w:szCs w:val="30"/>
          <w:lang w:val="en-US" w:eastAsia="zh-CN"/>
        </w:rPr>
      </w:pPr>
      <w:r>
        <w:rPr>
          <w:rFonts w:hint="eastAsia" w:ascii="仿宋" w:hAnsi="仿宋" w:eastAsia="仿宋" w:cs="仿宋"/>
          <w:b w:val="0"/>
          <w:bCs/>
          <w:color w:val="333333"/>
          <w:sz w:val="30"/>
          <w:szCs w:val="30"/>
          <w:lang w:val="en-US" w:eastAsia="zh-CN"/>
        </w:rPr>
        <w:t>观乎天文，以察时变;</w:t>
      </w:r>
    </w:p>
    <w:p>
      <w:pPr>
        <w:ind w:firstLine="600" w:firstLineChars="200"/>
        <w:rPr>
          <w:rFonts w:hint="eastAsia" w:ascii="仿宋" w:hAnsi="仿宋" w:eastAsia="仿宋" w:cs="仿宋"/>
          <w:b w:val="0"/>
          <w:bCs/>
          <w:color w:val="333333"/>
          <w:sz w:val="30"/>
          <w:szCs w:val="30"/>
          <w:lang w:val="en-US" w:eastAsia="zh-CN"/>
        </w:rPr>
      </w:pPr>
      <w:r>
        <w:rPr>
          <w:rFonts w:hint="eastAsia" w:ascii="仿宋" w:hAnsi="仿宋" w:eastAsia="仿宋" w:cs="仿宋"/>
          <w:b w:val="0"/>
          <w:bCs/>
          <w:color w:val="333333"/>
          <w:sz w:val="30"/>
          <w:szCs w:val="30"/>
          <w:lang w:val="en-US" w:eastAsia="zh-CN"/>
        </w:rPr>
        <w:t>观乎人文，以化成天下。</w:t>
      </w:r>
    </w:p>
    <w:p>
      <w:pPr>
        <w:ind w:firstLine="600" w:firstLineChars="200"/>
        <w:rPr>
          <w:rFonts w:hint="eastAsia" w:ascii="仿宋" w:hAnsi="仿宋" w:eastAsia="仿宋" w:cs="仿宋"/>
          <w:b w:val="0"/>
          <w:bCs/>
          <w:color w:val="333333"/>
          <w:sz w:val="30"/>
          <w:szCs w:val="30"/>
          <w:lang w:val="en-US" w:eastAsia="zh-CN"/>
        </w:rPr>
      </w:pPr>
      <w:r>
        <w:rPr>
          <w:rFonts w:hint="eastAsia" w:ascii="仿宋" w:hAnsi="仿宋" w:eastAsia="仿宋" w:cs="仿宋"/>
          <w:b w:val="0"/>
          <w:bCs/>
          <w:color w:val="333333"/>
          <w:sz w:val="30"/>
          <w:szCs w:val="30"/>
          <w:lang w:val="en-US" w:eastAsia="zh-CN"/>
        </w:rPr>
        <w:t>——《周易·贲·象传》</w:t>
      </w:r>
    </w:p>
    <w:p>
      <w:pPr>
        <w:ind w:firstLine="600" w:firstLineChars="200"/>
        <w:rPr>
          <w:rFonts w:hint="eastAsia" w:ascii="仿宋" w:hAnsi="仿宋" w:eastAsia="仿宋" w:cs="仿宋"/>
          <w:b w:val="0"/>
          <w:bCs/>
          <w:color w:val="333333"/>
          <w:sz w:val="30"/>
          <w:szCs w:val="30"/>
          <w:lang w:val="en-US" w:eastAsia="zh-CN"/>
        </w:rPr>
      </w:pPr>
      <w:r>
        <w:rPr>
          <w:rFonts w:hint="eastAsia" w:ascii="仿宋" w:hAnsi="仿宋" w:eastAsia="仿宋" w:cs="仿宋"/>
          <w:b w:val="0"/>
          <w:bCs/>
          <w:color w:val="333333"/>
          <w:sz w:val="30"/>
          <w:szCs w:val="30"/>
          <w:lang w:val="en-US" w:eastAsia="zh-CN"/>
        </w:rPr>
        <w:t>【释义】</w:t>
      </w:r>
    </w:p>
    <w:p>
      <w:pPr>
        <w:ind w:firstLine="600" w:firstLineChars="200"/>
        <w:rPr>
          <w:rFonts w:hint="eastAsia" w:ascii="仿宋" w:hAnsi="仿宋" w:eastAsia="仿宋" w:cs="仿宋"/>
          <w:b w:val="0"/>
          <w:bCs/>
          <w:color w:val="333333"/>
          <w:sz w:val="30"/>
          <w:szCs w:val="30"/>
          <w:lang w:val="en-US" w:eastAsia="zh-CN"/>
        </w:rPr>
      </w:pPr>
      <w:r>
        <w:rPr>
          <w:rFonts w:hint="eastAsia" w:ascii="仿宋" w:hAnsi="仿宋" w:eastAsia="仿宋" w:cs="仿宋"/>
          <w:b w:val="0"/>
          <w:bCs/>
          <w:color w:val="333333"/>
          <w:sz w:val="30"/>
          <w:szCs w:val="30"/>
          <w:lang w:val="en-US" w:eastAsia="zh-CN"/>
        </w:rPr>
        <w:t>观乎天文，可以明察四季时序的变化；观乎人类社会的文明礼仪，可以教化天下。</w:t>
      </w:r>
    </w:p>
    <w:p>
      <w:pPr>
        <w:pStyle w:val="2"/>
        <w:ind w:firstLine="600" w:firstLineChars="200"/>
        <w:rPr>
          <w:rFonts w:hint="eastAsia" w:ascii="仿宋" w:hAnsi="仿宋" w:eastAsia="仿宋" w:cs="仿宋"/>
          <w:b w:val="0"/>
          <w:bCs/>
          <w:color w:val="333333"/>
          <w:kern w:val="2"/>
          <w:sz w:val="30"/>
          <w:szCs w:val="30"/>
          <w:lang w:val="en-US" w:eastAsia="zh-CN" w:bidi="ar-SA"/>
        </w:rPr>
      </w:pPr>
      <w:r>
        <w:rPr>
          <w:rFonts w:hint="eastAsia" w:ascii="仿宋" w:hAnsi="仿宋" w:eastAsia="仿宋" w:cs="仿宋"/>
          <w:b w:val="0"/>
          <w:bCs/>
          <w:color w:val="333333"/>
          <w:kern w:val="2"/>
          <w:sz w:val="30"/>
          <w:szCs w:val="30"/>
          <w:lang w:val="en-US" w:eastAsia="zh-CN" w:bidi="ar-SA"/>
        </w:rPr>
        <w:t>马克思、恩格斯提出了辩证唯物主义自然观的思想，论证了人与自然的辩证统一关系。中国古人认为，只有观察、分析自然和人类社会的规律，才能制定正确的措施和办法，保障人类社会得以沿着正确的路径向前发展。</w:t>
      </w:r>
    </w:p>
    <w:p>
      <w:pPr>
        <w:pStyle w:val="2"/>
        <w:ind w:firstLine="600" w:firstLineChars="200"/>
        <w:rPr>
          <w:rFonts w:hint="eastAsia" w:ascii="仿宋" w:hAnsi="仿宋" w:eastAsia="仿宋" w:cs="仿宋"/>
          <w:b w:val="0"/>
          <w:bCs/>
          <w:color w:val="333333"/>
          <w:kern w:val="2"/>
          <w:sz w:val="30"/>
          <w:szCs w:val="30"/>
          <w:lang w:val="en-US" w:eastAsia="zh-CN" w:bidi="ar-SA"/>
        </w:rPr>
      </w:pPr>
      <w:r>
        <w:rPr>
          <w:rFonts w:hint="eastAsia" w:ascii="仿宋" w:hAnsi="仿宋" w:eastAsia="仿宋" w:cs="仿宋"/>
          <w:b w:val="0"/>
          <w:bCs/>
          <w:color w:val="333333"/>
          <w:kern w:val="2"/>
          <w:sz w:val="30"/>
          <w:szCs w:val="30"/>
          <w:lang w:val="en-US" w:eastAsia="zh-CN" w:bidi="ar-SA"/>
        </w:rPr>
        <w:t>树高千尺有根，水流万里有源。人与自然是一种共生关系，人类可以利用自然、改造自然，但归根结底是自然的一部分，必须呵护自然，不能凌驾于自然之上，不能只讲索取不讲投入，不能只讲发展不讲保护，不能只讲利用不讲修复。</w:t>
      </w:r>
    </w:p>
    <w:p>
      <w:pPr>
        <w:pStyle w:val="2"/>
        <w:ind w:firstLine="600" w:firstLineChars="200"/>
        <w:rPr>
          <w:rFonts w:hint="eastAsia" w:ascii="仿宋" w:hAnsi="仿宋" w:eastAsia="仿宋" w:cs="仿宋"/>
          <w:b w:val="0"/>
          <w:bCs/>
          <w:color w:val="333333"/>
          <w:kern w:val="2"/>
          <w:sz w:val="30"/>
          <w:szCs w:val="30"/>
          <w:lang w:val="en-US" w:eastAsia="zh-CN" w:bidi="ar-SA"/>
        </w:rPr>
      </w:pPr>
      <w:r>
        <w:rPr>
          <w:rFonts w:hint="eastAsia" w:ascii="仿宋" w:hAnsi="仿宋" w:eastAsia="仿宋" w:cs="仿宋"/>
          <w:b w:val="0"/>
          <w:bCs/>
          <w:color w:val="333333"/>
          <w:kern w:val="2"/>
          <w:sz w:val="30"/>
          <w:szCs w:val="30"/>
          <w:lang w:val="en-US" w:eastAsia="zh-CN" w:bidi="ar-SA"/>
        </w:rPr>
        <w:t>习近平生态文明思想是马克思主义基本原理同中国生态文明建设实践相结合、同中华优秀传统生态文化相结合的重大成果，是新时代生态文明建设的根本遵循和行动指南。我们必须全面把握和深入贯彻习近平生态文明思想，进一步加强生态环境保护、推进生态文明建设，让生态文明理念和实践造福世界人民。</w:t>
      </w:r>
    </w:p>
    <w:p>
      <w:pPr>
        <w:pStyle w:val="2"/>
        <w:rPr>
          <w:rFonts w:hint="eastAsia" w:ascii="仿宋" w:hAnsi="仿宋" w:eastAsia="仿宋" w:cs="仿宋"/>
          <w:b w:val="0"/>
          <w:bCs/>
          <w:color w:val="333333"/>
          <w:kern w:val="2"/>
          <w:sz w:val="30"/>
          <w:szCs w:val="30"/>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楷体_GBK">
    <w:altName w:val="微软雅黑"/>
    <w:panose1 w:val="02000000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c3ZmQwMjZmZWYzMzkzOGE5NDEwMzM0YmNjZjBhYWQifQ=="/>
  </w:docVars>
  <w:rsids>
    <w:rsidRoot w:val="1BFC0E62"/>
    <w:rsid w:val="1BFC0E62"/>
    <w:rsid w:val="46FA2D31"/>
    <w:rsid w:val="5A03244A"/>
    <w:rsid w:val="7FB8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4">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2023-10-08T23:44:00Z</dcterms:created>
  <dc:creator>Administrator</dc:creator>
  <cp:lastModifiedBy>旺仔牛奶</cp:lastModifiedBy>
  <dcterms:modified xsi:type="dcterms:W3CDTF">2023-10-11T00:39:46Z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EDC9F982E57F4F2880580B970F5053A8_11</vt:lpwstr>
  </property>
</Properties>
</file>