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78</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10</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11</w:t>
      </w:r>
      <w:r>
        <w:rPr>
          <w:rFonts w:hint="eastAsia" w:ascii="楷体_GB2312" w:hAnsi="楷体_GB2312" w:eastAsia="楷体_GB2312" w:cs="楷体_GB2312"/>
          <w:sz w:val="28"/>
          <w:szCs w:val="28"/>
        </w:rPr>
        <w:t>日</w:t>
      </w:r>
    </w:p>
    <w:p>
      <w:pPr>
        <w:pStyle w:val="2"/>
        <w:rPr>
          <w:rFonts w:hint="eastAsia"/>
        </w:rPr>
      </w:pPr>
    </w:p>
    <w:p>
      <w:pPr>
        <w:ind w:firstLine="602" w:firstLineChars="200"/>
        <w:rPr>
          <w:rFonts w:hint="eastAsia" w:ascii="仿宋" w:hAnsi="仿宋" w:eastAsia="仿宋" w:cs="仿宋"/>
          <w:b/>
          <w:color w:val="333333"/>
          <w:sz w:val="30"/>
          <w:szCs w:val="30"/>
          <w:lang w:val="en-US" w:eastAsia="zh-CN"/>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主题教育</w:t>
      </w:r>
      <w:r>
        <w:rPr>
          <w:rFonts w:hint="eastAsia" w:ascii="仿宋" w:hAnsi="仿宋" w:eastAsia="仿宋" w:cs="仿宋"/>
          <w:b/>
          <w:color w:val="333333"/>
          <w:sz w:val="30"/>
          <w:szCs w:val="30"/>
        </w:rPr>
        <w:t>】--全市学习贯彻习近平新时代中国特色社会主义思想主题教育动员会精神</w:t>
      </w:r>
    </w:p>
    <w:p>
      <w:pPr>
        <w:widowControl/>
        <w:spacing w:line="420" w:lineRule="exact"/>
        <w:ind w:firstLine="602" w:firstLineChars="200"/>
        <w:rPr>
          <w:rFonts w:hint="eastAsia" w:ascii="仿宋" w:hAnsi="仿宋" w:eastAsia="仿宋" w:cs="仿宋"/>
          <w:b/>
          <w:color w:val="333333"/>
          <w:sz w:val="30"/>
          <w:szCs w:val="30"/>
          <w:lang w:val="en-US" w:eastAsia="zh-CN"/>
        </w:rPr>
      </w:pP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9 月 13日下午，全市学习贯彻习近平新时代中国特色社会主义思想主题教育动员会议召开。会议传达学习了中央及省委学习贯彻习近平新时代中国特色社会主义思想主题教育第一批总结暨第二批部署会议精神。市委书记刘玉杰主持会议并讲话，省委第六巡回督导组组长张祥根到会指导并讲话。市委副书记、市长胡明文，市人大常委会主任胡明莹，市政协主席李志伟，省委第六巡回督导组副组长张尔桂出席。</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刘玉杰指出，在全党深入开展学习贯彻习近平新时代中国特色社会主义思想主题教育，是贯彻落实党的二十大精神的重大举措。习近平总书记关于主题教育系列重要讲话重要指示批示精神，为开展主题教育提供了根本遵循。全市各级党组织和广大党员干部要认真学习、深刻领会，切实把思想和行动统一到党中央决策部署及省委工作要求上来，以高度的政治自觉、思想自觉和行动自觉，高标准、高质量组织开展好主题教育，坚定不移沿着习近平总书记指引的方向前进，奋力走出新时代阜阳高质量发展新路。刘玉杰强调，要把开展好主题教育作为重大政治任务，聚</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焦习近平总书记对第二批主题教育提出的“五个更加”要求，不折不扣落实“学思想、强党性、重实践、建新功”总要求，在“凝心铸魂筑牢根本、锤炼品格强化忠诚、实干担当促进发展、践行宗旨为民造福、廉洁奉公树立新风”上见行动、求实效，以学铸魂、以学增智、以学正风、以学促干，从“六破六立”入手，进一步推动思想大解放、环境大优化、能力大提升、作风大转变、工作大落实。刘玉杰强调，要全面落实重点举措，一体推进理论学习、调查研究、推动发展、检视整改、建章立制等工作，做到学做结合、查改贯通、破立统一。要加强理论学习，坚持把学习贯彻习近平新时代中国特色社会主义思想作为主线，原原本本学、结合实际学、领导示范学，认真研读主题教育确定的学习材料，深学细悟、笃信笃行。要深入调查研究，全面推行“一线+闭环”工作法，细化调研计划，深入一线调研，做好成果转化，扑下身子干实事、求实效。要奋力推动高质量发展，锚定打造“三地一区”、建设“十个区域性强市”目标任务，一心一意谋发展，一张蓝图绘到底，一以贯之抓落实，把美好蓝图细化为施工图、转化为实景图，奋力打造长三角区域重点城市和带动皖北、支撑中原城市群发展的重要增长极，以高质量发展新成效检验主题教育成果。要抓实检视整改，刀刃向内检视剖析，扎实开展专项整治，真刀真枪整改问题，建章立制形成常态，让人民群众切实感受到解决问题的实际成效。刘玉杰要求，要加强组织领导，切实拧紧责任链条，各级党委（党组）主要负责同志要履行第一责任人责任，班子成员要履行“一岗双责”，领导小组成员单位和行业系统主管部门要各司其职、合力推进。要加强分类指导，针对各层级各领域以及各类群体党员特点，科学合理安排，确保全覆盖、无遗漏。要严实工作作风，认真落实“一对标三审查”机制，力戒形式主义、官僚主义，确保主题教育的政治性和严肃性。要注重统筹兼顾，把开展主题教育同贯彻党的二十大精神结合起来，同抓好中心工作结合起来，同解决群众急难愁盼问题结合起来，做到两手抓、两促进。要强化宣传引导，突出重点、严把导向，为开展主题教育营造浓厚氛围。张祥根指出，阜阳市委按照中央统一部署和省委工作安排，科学谋划、精心组织，认真做好主题教育准备工作，形成了周密可行的方案。在主题教育中，要提高政治站位，把握根</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本遵循；紧扣主题主线，紧盯目标要求；贯通重点措施，有序有力落实；坚持分类施策，做到精准有效；立足基层实际，解决突出问题；发扬严实作风，力戒形式主义、官僚主义。巡回督导组将认真学习贯彻习近平总书记重要讲话重要指示精神，按照中央及省委部署要求，同阜阳市委同向发力、同题共答,做好督促指导工作，确保阜阳的主题教育取得扎实成效。会议以电视电话会议形式召开。省委第六巡回督导组成员；现职厅级领导干部；市委委员、市委候补委员；市委常委，市人大常委会、市政府、市政协负责同志，市中级人民法院院长，市检察院检察长，部分市级老同志；市各民主党派、工商联主要负责同志和无党派代表人士，市委各部委、市直各部门、部分中央和省驻阜单位党组（党委）主要负责同志；党的二十大代表、省第十一次党代会代表，市委主题教育领导小组成员及办公室负责同志、各工作组组长等在主会场参加会议。各县市区设分会场。</w:t>
      </w:r>
    </w:p>
    <w:p>
      <w:pPr>
        <w:pStyle w:val="3"/>
        <w:keepNext w:val="0"/>
        <w:keepLines w:val="0"/>
        <w:widowControl/>
        <w:suppressLineNumbers w:val="0"/>
        <w:spacing w:before="0" w:beforeAutospacing="0" w:after="0" w:afterAutospacing="0"/>
        <w:ind w:left="0" w:right="0"/>
        <w:jc w:val="left"/>
        <w:rPr>
          <w:rFonts w:hint="eastAsia" w:ascii="仿宋" w:hAnsi="仿宋" w:eastAsia="仿宋" w:cs="仿宋"/>
          <w:b/>
          <w:color w:val="333333"/>
          <w:sz w:val="30"/>
          <w:szCs w:val="30"/>
        </w:rPr>
      </w:pPr>
      <w:r>
        <w:rPr>
          <w:rFonts w:hint="eastAsia" w:ascii="仿宋" w:hAnsi="仿宋" w:eastAsia="仿宋" w:cs="仿宋"/>
          <w:b/>
          <w:color w:val="333333"/>
          <w:sz w:val="30"/>
          <w:szCs w:val="30"/>
        </w:rPr>
        <w:t>古韵新声|天地之大，黎元为本</w:t>
      </w:r>
    </w:p>
    <w:p>
      <w:pPr>
        <w:ind w:firstLine="600" w:firstLineChars="200"/>
        <w:rPr>
          <w:rFonts w:hint="eastAsia" w:ascii="仿宋" w:hAnsi="仿宋" w:eastAsia="仿宋" w:cs="仿宋"/>
          <w:b w:val="0"/>
          <w:bCs/>
          <w:color w:val="333333"/>
          <w:sz w:val="30"/>
          <w:szCs w:val="30"/>
          <w:lang w:val="en-US" w:eastAsia="zh-CN"/>
        </w:rPr>
      </w:pPr>
      <w:r>
        <w:rPr>
          <w:rFonts w:hint="eastAsia" w:ascii="仿宋" w:hAnsi="仿宋" w:eastAsia="仿宋" w:cs="仿宋"/>
          <w:b w:val="0"/>
          <w:bCs/>
          <w:color w:val="333333"/>
          <w:sz w:val="30"/>
          <w:szCs w:val="30"/>
          <w:lang w:val="en-US" w:eastAsia="zh-CN"/>
        </w:rPr>
        <w:t>江苏学习平台</w:t>
      </w:r>
    </w:p>
    <w:p>
      <w:pPr>
        <w:pStyle w:val="2"/>
        <w:ind w:firstLine="600" w:firstLineChars="200"/>
        <w:rPr>
          <w:rFonts w:hint="eastAsia" w:ascii="仿宋" w:hAnsi="仿宋" w:eastAsia="仿宋" w:cs="仿宋"/>
          <w:b w:val="0"/>
          <w:bCs/>
          <w:color w:val="333333"/>
          <w:kern w:val="2"/>
          <w:sz w:val="30"/>
          <w:szCs w:val="30"/>
          <w:lang w:val="en-US" w:eastAsia="zh-CN" w:bidi="ar-SA"/>
        </w:rPr>
      </w:pP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【原典】</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天地之大，黎元为本。</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（唐）李世民《晋宣帝总论》</w:t>
      </w:r>
    </w:p>
    <w:p>
      <w:pPr>
        <w:pStyle w:val="2"/>
        <w:ind w:firstLine="600" w:firstLineChars="200"/>
        <w:rPr>
          <w:rFonts w:hint="eastAsia" w:ascii="仿宋" w:hAnsi="仿宋" w:eastAsia="仿宋" w:cs="仿宋"/>
          <w:b w:val="0"/>
          <w:bCs/>
          <w:color w:val="333333"/>
          <w:kern w:val="2"/>
          <w:sz w:val="30"/>
          <w:szCs w:val="30"/>
          <w:lang w:val="en-US" w:eastAsia="zh-CN" w:bidi="ar-SA"/>
        </w:rPr>
      </w:pP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【释义】</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天地广大承载着万物，只有百姓才是国家的根本。</w:t>
      </w:r>
    </w:p>
    <w:p>
      <w:pPr>
        <w:pStyle w:val="2"/>
        <w:ind w:firstLine="600" w:firstLineChars="200"/>
        <w:rPr>
          <w:rFonts w:hint="eastAsia" w:ascii="仿宋" w:hAnsi="仿宋" w:eastAsia="仿宋" w:cs="仿宋"/>
          <w:b w:val="0"/>
          <w:bCs/>
          <w:color w:val="333333"/>
          <w:kern w:val="2"/>
          <w:sz w:val="30"/>
          <w:szCs w:val="30"/>
          <w:lang w:val="en-US" w:eastAsia="zh-CN" w:bidi="ar-SA"/>
        </w:rPr>
      </w:pP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人民群众是历史的创造者，是社会变革的决定力量，“天地之大，黎元为本”体现了马克思主义群众史观。自古以来，民本思想始终是中华民族的治国理念，在传统政治文化中占有重要地位。</w:t>
      </w:r>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中国共产党为人民而生、因人民而兴。我们党带领人民打江山、守江山，守的就是人民的心。作为中国共产党根本宗旨和初心使命的体现，“为人民服务”像一根红线贯穿我们党百年的历史，激励一代代中国共产党人前赴后继、英勇奋斗。</w:t>
      </w:r>
      <w:bookmarkStart w:id="0" w:name="_GoBack"/>
      <w:bookmarkEnd w:id="0"/>
    </w:p>
    <w:p>
      <w:pPr>
        <w:pStyle w:val="2"/>
        <w:ind w:firstLine="600" w:firstLineChars="200"/>
        <w:rPr>
          <w:rFonts w:hint="eastAsia" w:ascii="仿宋" w:hAnsi="仿宋" w:eastAsia="仿宋" w:cs="仿宋"/>
          <w:b w:val="0"/>
          <w:bCs/>
          <w:color w:val="333333"/>
          <w:kern w:val="2"/>
          <w:sz w:val="30"/>
          <w:szCs w:val="30"/>
          <w:lang w:val="en-US" w:eastAsia="zh-CN" w:bidi="ar-SA"/>
        </w:rPr>
      </w:pPr>
      <w:r>
        <w:rPr>
          <w:rFonts w:hint="eastAsia" w:ascii="仿宋" w:hAnsi="仿宋" w:eastAsia="仿宋" w:cs="仿宋"/>
          <w:b w:val="0"/>
          <w:bCs/>
          <w:color w:val="333333"/>
          <w:kern w:val="2"/>
          <w:sz w:val="30"/>
          <w:szCs w:val="30"/>
          <w:lang w:val="en-US" w:eastAsia="zh-CN" w:bidi="ar-SA"/>
        </w:rPr>
        <w:t>党的十八大以来，以习近平同志为核心的党中央坚持以人民为中心的发展思想，把增进人民福祉、促进人的全面发展作为一切工作的出发点和落脚点，发展人民民主，维护社会公平正义，保障人民平等参与、平等发展的权利，充分调动人民的积极性、主动性、创造性。只有坚持以人民为中心的发展思想，坚持发展为了人民、发展依靠人民、发展成果由人民共享，才会有正确的发展观、现代化观。</w:t>
      </w:r>
    </w:p>
    <w:p>
      <w:pPr>
        <w:pStyle w:val="2"/>
        <w:rPr>
          <w:rFonts w:hint="eastAsia" w:ascii="仿宋" w:hAnsi="仿宋" w:eastAsia="仿宋" w:cs="仿宋"/>
          <w:b w:val="0"/>
          <w:bCs/>
          <w:color w:val="333333"/>
          <w:kern w:val="2"/>
          <w:sz w:val="30"/>
          <w:szCs w:val="3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1BFC0E62"/>
    <w:rsid w:val="1BFC0E62"/>
    <w:rsid w:val="46FA2D31"/>
    <w:rsid w:val="4B86222C"/>
    <w:rsid w:val="4C2816BD"/>
    <w:rsid w:val="4FEA705D"/>
    <w:rsid w:val="552C2EC0"/>
    <w:rsid w:val="5A032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2023-10-08T23:44:00Z</dcterms:created>
  <dc:creator>Administrator</dc:creator>
  <cp:lastModifiedBy>旺仔牛奶</cp:lastModifiedBy>
  <dcterms:modified xsi:type="dcterms:W3CDTF">2023-10-11T01:03:07Z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EDC9F982E57F4F2880580B970F5053A8_11</vt:lpwstr>
  </property>
</Properties>
</file>