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IoT-taustaa hyvin. Entä muut kirjat?</w:t>
      </w:r>
    </w:p>
    <w:p>
      <w:pPr>
        <w:pStyle w:val="BodyText"/>
      </w:pPr>
      <w:r>
        <w:rPr>
          <w:i/>
        </w:rPr>
        <w:t xml:space="preserve">Ks. Muistiinpanoja.md CISCOn Harnessing-IoT-Global-Development.pdf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kuvaillaan toteutetun tutkimuksen tarkoitus, tavoitteet, tutkimuskysymykset, aineisto, menetelmät ja eteneminen.</w:t>
      </w:r>
    </w:p>
    <w:p>
      <w:pPr>
        <w:pStyle w:val="BodyText"/>
      </w:pPr>
      <w:r>
        <w:t xml:space="preserve">Opinnäytetyön keskeinen tutkimusongelma on, että kasvintuotannon IoT-ratkaisut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IoT-ratkaisuista että lähtökohta lukijan omalle tiedonhaulle aiheeseen tarkemmin tutustuttaessa.</w:t>
      </w:r>
    </w:p>
    <w:p>
      <w:pPr>
        <w:pStyle w:val="Heading2"/>
      </w:pPr>
      <w:bookmarkStart w:id="43" w:name="tutkimuskysymykset"/>
      <w:bookmarkEnd w:id="43"/>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45" w:name="kirjallisuuskatsaus"/>
      <w:bookmarkEnd w:id="45"/>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70" w:name="yleinen-kuvailu"/>
      <w:bookmarkEnd w:id="70"/>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r>
        <w:t xml:space="preserve"> </w:t>
      </w:r>
      <w:r>
        <w:t xml:space="preserve">* IoT-ratkaisuiden integraation varmistaminen avoimien arkkitehtuurien, alustojen ja standardien avulla;</w:t>
      </w:r>
      <w:r>
        <w:t xml:space="preserve"> </w:t>
      </w:r>
      <w:r>
        <w:t xml:space="preserve">* Keskenään yhteistoimintakykyisten IoT-ratkaisuiden käytön skaalaus aikaisten omaksujien joukon ulkopuolelle, mukaan lukien nykyisten ratkaisujen yksinkertaistaminen viljelijöiden ja laitetoimittajien valtavirran kiinnostuksen varmistamiseksi;</w:t>
      </w:r>
      <w:r>
        <w:t xml:space="preserve"> </w:t>
      </w:r>
      <w:r>
        <w:t xml:space="preserve">* IoT-teknologioiden käytettävyyden edelleen kehittäminen maatalouden käyttötapauksia ja olosuhteiden vaatimuksia vastaaviksi.</w:t>
      </w:r>
    </w:p>
    <w:p>
      <w:pPr>
        <w:pStyle w:val="BodyText"/>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r>
        <w:t xml:space="preserve"> </w:t>
      </w:r>
      <w:r>
        <w:t xml:space="preserve">*</w:t>
      </w:r>
      <w:r>
        <w:t xml:space="preserve"> </w:t>
      </w: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r>
        <w:t xml:space="preserve"> </w:t>
      </w:r>
      <w:r>
        <w:t xml:space="preserve">*</w:t>
      </w:r>
      <w:r>
        <w:t xml:space="preserve"> </w:t>
      </w: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r>
        <w:t xml:space="preserve"> </w:t>
      </w:r>
      <w:r>
        <w:t xml:space="preserve">*</w:t>
      </w:r>
      <w:r>
        <w:t xml:space="preserve"> </w:t>
      </w: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r>
        <w:t xml:space="preserve">*</w:t>
      </w:r>
      <w:r>
        <w:t xml:space="preserve"> </w:t>
      </w: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r>
        <w:t xml:space="preserve"> </w:t>
      </w:r>
      <w:r>
        <w:t xml:space="preserve">*</w:t>
      </w:r>
      <w:r>
        <w:t xml:space="preserve"> </w:t>
      </w: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r>
        <w:t xml:space="preserve"> </w:t>
      </w:r>
      <w:r>
        <w:t xml:space="preserve">*</w:t>
      </w:r>
      <w:r>
        <w:t xml:space="preserve"> </w:t>
      </w: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r>
        <w:t xml:space="preserve">*</w:t>
      </w:r>
      <w:r>
        <w:t xml:space="preserve"> </w:t>
      </w: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r>
        <w:t xml:space="preserve"> </w:t>
      </w:r>
      <w:r>
        <w:t xml:space="preserve">*</w:t>
      </w:r>
      <w:r>
        <w:t xml:space="preserve"> </w:t>
      </w: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IoT-konsepti voidaan lähtökohtaisesti toteuttaa näiden teknologioiden integroinnilla.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langattomien henkilökohtaisten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muiden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Muita keskeisiä aiheita käsitellyissä julkaisuissa ovat ruoan laadun parantaminen, ruoan turvallisuus ja jäljitettävyys, veden hallinta, maaseudun kehittäminen, kaupunkiviljely ja kuluttajien vuorovaikutus</w:t>
      </w:r>
      <w:r>
        <w:t xml:space="preserve"> </w:t>
      </w:r>
      <w:r>
        <w:t xml:space="preserve">(Verdouw, Wolfert &amp; Tekinerdogan 2016)</w:t>
      </w:r>
      <w:r>
        <w:t xml:space="preserve">.</w:t>
      </w:r>
    </w:p>
    <w:p>
      <w:pPr>
        <w:pStyle w:val="BodyText"/>
      </w:pPr>
      <w:r>
        <w:rPr>
          <w:b/>
        </w:rPr>
        <w:t xml:space="preserve">Tietoturva</w:t>
      </w:r>
      <w:r>
        <w:t xml:space="preserve"> </w:t>
      </w: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BodyText"/>
      </w:pPr>
      <w:r>
        <w:rPr>
          <w:i/>
        </w:rPr>
        <w:t xml:space="preserve">missä vertailtaisiin visioita iof2020 ja tiekartan välillä?</w:t>
      </w:r>
    </w:p>
    <w:p>
      <w:pPr>
        <w:pStyle w:val="BodyText"/>
      </w:pPr>
      <w:r>
        <w:rPr>
          <w:i/>
        </w:rPr>
        <w:t xml:space="preserve">Granell et al. (2016), 7 FI-WARE -hankkeessa toteutetut niin sanotut Generic Enabler - mitäihmettäneovat? - , jotka ovat sovellus- ja käyttötapausagnostisia. Lisäksi GE:t ovat riippumattomia sovellusaloista, kuten ympäristö-, maatalous- tai energia-ala. GE:t abstraktoivat pilvipalvelut, alatason IoT-ratkaisujen tekniset yksityiskohdat ja massadatan (Big Data) käsittelyn avoimien määrittelyjen ja ohjelmistorajapintojen avulla.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AIoT-ratkaisuiden sovellusalueiden luokittelu ja rajaukset vaihtelevat aineiston kirjallisuuskatsausten välillä, usein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valvonta ja kontrollointi</w:t>
      </w:r>
      <w:r>
        <w:t xml:space="preserve"> </w:t>
      </w:r>
      <w:r>
        <w:t xml:space="preserve">7,</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järjestelmät kaupalliset ratkaisut</w:t>
      </w:r>
      <w:r>
        <w:t xml:space="preserve"> </w:t>
      </w:r>
      <w:r>
        <w:t xml:space="preserve">14.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IoT-teknologioita käsittelevät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jakautuvat seuraavasti: valvontaa käsitteleviä tutkimuksia on 46, kontrollointia käsitteleviä 17, logistiikkaa 5 ja ennustusta 4.</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useilla visuaalisilla tavoilla.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rPr>
          <w:i/>
        </w:rPr>
        <w:t xml:space="preserve">Tämä jää vähän irtonaiseksi nyt:</w:t>
      </w:r>
      <w:r>
        <w:t xml:space="preserve"> </w:t>
      </w:r>
      <w:r>
        <w:t xml:space="preserve">Talavera et al. (2017, s. 2017)</w:t>
      </w:r>
      <w:r>
        <w:t xml:space="preserve"> </w:t>
      </w:r>
      <w:r>
        <w:t xml:space="preserve">kirjallisuuskatsauksessa käsitellyissä julkaisuissa käytettyjen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käsitellyissä julkaisuissa viidessä</w:t>
      </w:r>
      <w:r>
        <w:t xml:space="preserve"> </w:t>
      </w:r>
      <w:r>
        <w:rPr>
          <w:i/>
        </w:rPr>
        <w:t xml:space="preserve">Kuinka suuri määrä kokonaisuudesta?</w:t>
      </w:r>
      <w:r>
        <w:t xml:space="preserve"> </w:t>
      </w:r>
      <w:r>
        <w:t xml:space="preserve">pyritään tuottamaan täysautomatisoitu kontrollointi,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käsittelivät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AIoT-ratkaisuiden tietoturvaa laajasti ja erityisesti järjestelmäkehityksen näkökulmasta.</w:t>
      </w:r>
    </w:p>
    <w:p>
      <w:pPr>
        <w:pStyle w:val="Heading4"/>
      </w:pPr>
      <w:bookmarkStart w:id="81" w:name="laitteiden-energiatehokkuuden-haasteet"/>
      <w:bookmarkEnd w:id="81"/>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AIoT-ekosysteemin laajentamisen haasteet</w:t>
      </w:r>
    </w:p>
    <w:p>
      <w:pPr>
        <w:pStyle w:val="FirstParagraph"/>
      </w:pPr>
      <w:r>
        <w:t xml:space="preserve">Talavera et al. (2017, s. 2017)</w:t>
      </w:r>
      <w:r>
        <w:t xml:space="preserve"> </w:t>
      </w:r>
      <w:r>
        <w:t xml:space="preserve">huomasivat kirjallisuuskatsauksessaan, että kirjallisuudessa on huomattava aukko IoT-ratkaisujen yksinkertaisien prototyyppien kehittämisestä tosielämän ratkaisuiksi.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ja pilviteknologioihin perustuvien palveluiden tuottamiseen.</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ilu-teemojen-mukaan-ryhmiteltyinä"/>
      <w:bookmarkEnd w:id="91"/>
      <w:r>
        <w:t xml:space="preserve">Haastattelujen tuloksien kuvailu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huomaamattaa jääneitä pullonkauloja, jotka voitaisiin havaita data-analytiikalla</w:t>
      </w:r>
      <w:r>
        <w:t xml:space="preserve"> </w:t>
      </w:r>
      <w:r>
        <w:t xml:space="preserve">(Polvinen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i) laitteiden tuottaman tiedon hyödyntäminen ja ii)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i) pitkällä tähtäimellä negatiivisesti viljelijän ammattitaitoon ja ii) lyhyellä aikavälillä viljelijän tilannetietoisuuteen pelloilla vallitsevasta tilanteesta.</w:t>
      </w:r>
      <w:r>
        <w:t xml:space="preserve"> </w:t>
      </w:r>
      <w:r>
        <w:t xml:space="preserve">(Polvinen 2018a)</w:t>
      </w:r>
    </w:p>
    <w:p>
      <w:pPr>
        <w:pStyle w:val="Heading4"/>
      </w:pPr>
      <w:bookmarkStart w:id="104" w:name="aiot-teknologioiden-omaksumisen-tilanne-suomessa"/>
      <w:bookmarkEnd w:id="104"/>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Uusien standardiperusteisien teknologioiden etu viljelijöille on, että niitä voidaan ottaa käyttöön asteittain pienin askelin, mikä sopii useimpien viljelijöiden toimintaan paremmin kuin vaikka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AIoT-järjestelmien kehittämisen tilanne</w:t>
      </w:r>
      <w:r>
        <w:t xml:space="preserve"> </w:t>
      </w:r>
      <w:r>
        <w:t xml:space="preserve">A.A.n tietojen mukaan ei ole saatavilla sellaista AIoT-järjestelmäratkaisua, jossa ensin tuotantojärjestelmien dataa voitaisiin käsitellä pilvipalvelussa ja sitten automaattisen analytiikan tulosten perusteella – edelleen automatiikan avulla –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rPr>
          <w:b/>
        </w:rPr>
        <w:t xml:space="preserve">jatkuu: Kokonaisvaltaisen maatilan tiedonhallintajärjestelmän kehityksen tilanne</w:t>
      </w:r>
      <w:r>
        <w:t xml:space="preserve"> </w:t>
      </w: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kehityksen tilanne</w:t>
      </w:r>
      <w:r>
        <w:t xml:space="preserve"> </w:t>
      </w:r>
      <w:r>
        <w:t xml:space="preserve">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rPr>
          <w:b/>
        </w:rPr>
        <w:t xml:space="preserve">jatkuu: Kokonaisvaltaisen maatilan tiedonhallintajärjestelmän kehityksen tilanne</w:t>
      </w:r>
      <w:r>
        <w:t xml:space="preserve"> </w:t>
      </w: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arvoeriee verkostoitu markkina</w:t>
      </w:r>
      <w:r>
        <w:t xml:space="preserve"> </w:t>
      </w:r>
      <w:r>
        <w:t xml:space="preserve">Vaikka teknologia mahdollistaisi sadosta erillisten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rPr>
          <w:b/>
        </w:rPr>
        <w:t xml:space="preserve">Tuotantoketjun tietojen kuluttajille tuottamisen tarkoituksenmukaisuus ja mahdolliset käyttötavat</w:t>
      </w:r>
      <w:r>
        <w:t xml:space="preserve"> </w:t>
      </w: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rPr>
          <w:b/>
        </w:rPr>
        <w:t xml:space="preserve">Datan markkinoiden käytännön rajoituksia</w:t>
      </w:r>
      <w:r>
        <w:t xml:space="preserve"> </w:t>
      </w: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Laatusertifikaattien valvontaan tarkoitettu sovellus toisaalta voisi D.D.n mukaan olla mahdollinen.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110" w:name="datan-omistajuus"/>
      <w:bookmarkEnd w:id="110"/>
      <w:r>
        <w:t xml:space="preserve">Datan omistajuus</w:t>
      </w:r>
    </w:p>
    <w:p>
      <w:pPr>
        <w:pStyle w:val="FirstParagraph"/>
      </w:pPr>
      <w:r>
        <w:rPr>
          <w:b/>
        </w:rPr>
        <w:t xml:space="preserve">Datan omistajuuskysymys siirryttäessä pilvipalveluihin</w:t>
      </w:r>
      <w:r>
        <w:t xml:space="preserve"> </w:t>
      </w:r>
      <w:r>
        <w:t xml:space="preserve">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rPr>
          <w:b/>
        </w:rPr>
        <w:t xml:space="preserve">Valmistajan oman käyttöliittymän edut</w:t>
      </w:r>
      <w:r>
        <w:t xml:space="preserve"> </w:t>
      </w: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rPr>
          <w:b/>
        </w:rPr>
        <w:t xml:space="preserve">Kasvitehtaiden käyttötapauksia</w:t>
      </w:r>
      <w:r>
        <w:t xml:space="preserve"> </w:t>
      </w: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w:t>
      </w:r>
    </w:p>
    <w:p>
      <w:pPr>
        <w:pStyle w:val="BodyText"/>
      </w:pPr>
      <w:r>
        <w:rPr>
          <w:b/>
        </w:rPr>
        <w:t xml:space="preserve">Viljelytavan toteen näyttäminen</w:t>
      </w:r>
      <w:r>
        <w:t xml:space="preserve"> </w:t>
      </w:r>
      <w:r>
        <w:t xml:space="preserve">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päätöksenteko AIoT-ratkaisuissa</w:t>
      </w:r>
      <w:r>
        <w:t xml:space="preserve"> </w:t>
      </w:r>
      <w:r>
        <w:t xml:space="preserve">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rPr>
          <w:b/>
        </w:rPr>
        <w:t xml:space="preserve">Päätöksenteon parantaminen data-analytiikan avulla &amp; urakointi ohjaustiedostojen avulla</w:t>
      </w:r>
      <w:r>
        <w:t xml:space="preserve"> </w:t>
      </w: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kannattavuuskysymys käytännössä</w:t>
      </w:r>
      <w:r>
        <w:t xml:space="preserve"> </w:t>
      </w:r>
      <w:r>
        <w:t xml:space="preserve">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(Polvinen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AIoT-teknologioiden mahdollisuudet</w:t>
      </w:r>
      <w:r>
        <w:t xml:space="preserve"> </w:t>
      </w:r>
      <w:r>
        <w:t xml:space="preserve">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112" w:name="ruokaturva"/>
      <w:bookmarkEnd w:id="112"/>
      <w:r>
        <w:t xml:space="preserve">Ruokaturva</w:t>
      </w:r>
    </w:p>
    <w:p>
      <w:pPr>
        <w:pStyle w:val="FirstParagraph"/>
      </w:pPr>
      <w:r>
        <w:rPr>
          <w:b/>
        </w:rPr>
        <w:t xml:space="preserve">AIoT-teknologioiden mahdollisuudet ruokaturvan parantamisessa</w:t>
      </w:r>
      <w:r>
        <w:t xml:space="preserve"> </w:t>
      </w:r>
      <w:r>
        <w:t xml:space="preserve">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rPr>
          <w:b/>
        </w:rPr>
        <w:t xml:space="preserve">Ruokaturvan varmistaminen tuotannon kannattavuudella</w:t>
      </w:r>
      <w:r>
        <w:t xml:space="preserve"> </w:t>
      </w: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rPr>
          <w:b/>
        </w:rPr>
        <w:t xml:space="preserve">Verkkojen luotettavuus ja nopeus; pilvipalvelut maataloudessa; telemetriaratkaisut; puhelinverkko; UA-laitteet; valokuituverkot; radioverkot;</w:t>
      </w:r>
      <w:r>
        <w:t xml:space="preserve"> </w:t>
      </w:r>
      <w:r>
        <w:rPr>
          <w:b/>
        </w:rPr>
        <w:t xml:space="preserve">Syrjäseutujen verkkojen nopeus ja luotettavuus; maatalouden tuottaman datan määrän kasvu; UA-laitteet</w:t>
      </w:r>
      <w:r>
        <w:t xml:space="preserve"> </w:t>
      </w: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rPr>
          <w:i/>
        </w:rPr>
        <w:t xml:space="preserve">Tämä lause uusiksi: A.A. kertoi aikaisemman teknologiakehityksen vaiheen eli täsmäviljelyn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21" w:name="tutkimuskysymyksien-vastaukset"/>
      <w:bookmarkEnd w:id="121"/>
      <w:r>
        <w:t xml:space="preserve">Tutkimuskysymyksien vastaukset</w:t>
      </w:r>
    </w:p>
    <w:p>
      <w:pPr>
        <w:pStyle w:val="Heading1"/>
      </w:pPr>
      <w:bookmarkStart w:id="122" w:name="johtopäätös-ja-keskustelu"/>
      <w:bookmarkEnd w:id="122"/>
      <w:r>
        <w:t xml:space="preserve">JOHTOPÄÄTÖS JA KESKUSTELU</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ahteet"/>
      <w:bookmarkEnd w:id="127"/>
      <w:r>
        <w:t xml:space="preserve">LÄHTEET</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30">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1">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2">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3">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4">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5">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6">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7">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8">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39">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40">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1">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80e9e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08f5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81385ef8"/>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621162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4bd0db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407d8145"/>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b5d399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5558a2b4"/>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2018-10-01T08:53:40Z</dcterms:created>
  <dcterms:modified xsi:type="dcterms:W3CDTF">2018-10-01T08:53:40Z</dcterms:modified>
</cp:coreProperties>
</file>