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r>
        <w:pict>
          <v:rect style="width:0;height:1.5pt" o:hralign="center" o:hrstd="t" o:hr="t"/>
        </w:pic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mukailtua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pyritään kuvailemaan millainen kasvintuotannon IoT:n tausta on, millaisista osailmiöistä se koostuu ja mitä kasvintuotannon IoT:stä on kirjoitettu.</w:t>
      </w:r>
      <w:r>
        <w:t xml:space="preserve"> </w:t>
      </w:r>
      <w:r>
        <w:rPr>
          <w:i/>
        </w:rPr>
        <w:t xml:space="preserve">Ompas kömöä kieltä, mutta palataan tähän kun luku on kirjoitettu.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pyritään kuvailemaan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pyritään toteuttamaan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45" w:name="kirjallisuuskatsaus"/>
      <w:bookmarkEnd w:id="45"/>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w:t>
      </w:r>
      <w:r>
        <w:t xml:space="preserve"> </w:t>
      </w:r>
      <w:r>
        <w:rPr>
          <w:i/>
        </w:rPr>
        <w:t xml:space="preserve">Aineistojen haun kuvailussa käytetään myös systemaattisen kirjallisuuskatsauksen menetelmiä aineistohaun kuvailussa/dokumentoinnissa.</w:t>
      </w:r>
    </w:p>
    <w:p>
      <w:pPr>
        <w:pStyle w:val="BodyText"/>
      </w:pPr>
      <w:r>
        <w:t xml:space="preserve">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48" w:name="teemahaastattelu"/>
      <w:bookmarkEnd w:id="48"/>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voitiin järjestellä uudelleen myös haastattelutilanteen niin vaatiessa, myötäillen haastattelun kulkua teemasta toiseen.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Haastattelujen litteroinnissa käytetään yleiskielistä litterointia. Yleiskielistä litterointia tarkempaa sanatarkkaa litterointia on käytetty, jos yleiskielisellä litteroinnilla on arvioitu olevan mahdollisesti tarkoitusta muuttava vaikutus.</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pyritään kuvailemaan tutkimuksen tulokset. Kirjallisuuskatsauksen ja teemahaastatteluiden tuloksia tarkastellaan erikseen, jonka jälkeen tuloksista tehdään kuvaileva yhteenveto. Lopuksi esitellään vastaukset tutkimuskysymyksiin tuloksista tehtyjen havaintojen ja johtopäätösten perusteella.</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IoT-konsepti voidaan lähtökohtaisesti toteuttaa näiden teknologioiden integroinnilla. Tämä on selkeästi havaittavissa useissa esitetyissä AIoT-arkkitehtuureissa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IoT-ratkaisuihin ei ole paras mahdollinen johtuen IoT-laitteiden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w:t>
      </w:r>
      <w:r>
        <w:t xml:space="preserve"> </w:t>
      </w:r>
      <w:r>
        <w:t xml:space="preserve">(Verdouw, Wolfert &amp; Tekinerdogan 2016)</w:t>
      </w:r>
      <w:r>
        <w:t xml:space="preserve">.</w:t>
      </w:r>
    </w:p>
    <w:p>
      <w:pPr>
        <w:pStyle w:val="BodyText"/>
      </w:pPr>
      <w:r>
        <w:rPr>
          <w:b/>
        </w:rPr>
        <w:t xml:space="preserve">Tietoturva</w:t>
      </w:r>
      <w:r>
        <w:t xml:space="preserve"> </w:t>
      </w: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rPr>
          <w:i/>
        </w:rPr>
        <w:t xml:space="preserve">Tämä jää vähän irtonaiseksi nyt:</w:t>
      </w:r>
      <w:r>
        <w:t xml:space="preserve"> </w:t>
      </w:r>
      <w:r>
        <w:t xml:space="preserve">Talavera et al. (2017, s. 2017)</w:t>
      </w:r>
      <w:r>
        <w:t xml:space="preserve"> </w:t>
      </w:r>
      <w:r>
        <w:t xml:space="preserve">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käsittelivät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AIoT-ratkaisuiden tietoturvaa laajasti ja erityisesti järjestelmäkehityksen näkökulmasta.</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AIoT-laitteiden käyttöönotot edellyttävät tietoliikenneverkkojen arkkitehtuurin uudistamista, jotta verkot voisivat sopeutua IoT-järjestelmien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85" w:name="aiot-ekosysteemin-laajentamisen-haasteet"/>
      <w:bookmarkEnd w:id="85"/>
      <w:r>
        <w:t xml:space="preserve">AIoT-ekosysteemin laajentamisen haasteet</w:t>
      </w:r>
    </w:p>
    <w:p>
      <w:pPr>
        <w:pStyle w:val="FirstParagraph"/>
      </w:pPr>
      <w:r>
        <w:t xml:space="preserve">Talavera et al. (2017, s. 2017)</w:t>
      </w:r>
      <w:r>
        <w:t xml:space="preserve"> </w:t>
      </w:r>
      <w:r>
        <w:t xml:space="preserve">huomasivat kirjallisuuskatsauksessaan, että kirjallisuudessa on huomattava aukko IoT-ratkaisujen yksinkertaisien prototyyppien kehittämisestä tosielämän ratkaisuiksi.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w:t>
      </w:r>
      <w:r>
        <w:t xml:space="preserve"> </w:t>
      </w:r>
      <w:r>
        <w:t xml:space="preserve">(Sundmaeker et al. 2016)</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ja pilviteknologioihin perustuvien palveluiden tuottamiseen.</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2018a)</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IoT-ratkaisuksi luettava ValtraSmart on Valtran ensimmäinen telemetria- ja IoT-järjestelmä ja se on saanut E.E.n mukaan hyvän vastaanoton markkinoilla</w:t>
      </w:r>
      <w:r>
        <w:t xml:space="preserve"> </w:t>
      </w:r>
      <w:r>
        <w:t xml:space="preserve">(Tuntematon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Tuntematon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 Tuntematon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(Tuntematon 2018b)</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w:t>
      </w:r>
      <w:r>
        <w:t xml:space="preserve">. Toisaalta tuotannossa voi olla huomaamattaa jääneitä pullonkauloja, jotka voitaisiin havaita data-analytiikalla</w:t>
      </w:r>
      <w:r>
        <w:t xml:space="preserve"> </w:t>
      </w:r>
      <w:r>
        <w:t xml:space="preserve">(Tuntematon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99" w:name="sisällönanalyysiin-taulukoinnin-havainnot"/>
      <w:bookmarkEnd w:id="99"/>
      <w:r>
        <w:t xml:space="preserve">Sisällönanalyysiin taulukoinnin havainnot</w:t>
      </w:r>
    </w:p>
    <w:p>
      <w:pPr>
        <w:pStyle w:val="FirstParagraph"/>
      </w:pPr>
      <w:r>
        <w:rPr>
          <w:i/>
        </w:rPr>
        <w:t xml:space="preserve">Tässä osiossa kuvaillaan havaintoja sisällönanalyysissä tehdyistä taulukoista. …</w:t>
      </w:r>
      <w:r>
        <w:t xml:space="preserve"> </w:t>
      </w:r>
      <w:r>
        <w:t xml:space="preserve">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w:t>
      </w:r>
      <w:r>
        <w:t xml:space="preserve"> </w:t>
      </w:r>
      <w:r>
        <w:rPr>
          <w:i/>
        </w:rPr>
        <w:t xml:space="preserve">osiossa/luvussa</w:t>
      </w:r>
      <w:r>
        <w:t xml:space="preserve"> </w:t>
      </w:r>
      <w:r>
        <w:t xml:space="preserve">kuvaillaan haastatteluissa käsiteltyjen teemojen mukaan jaotellut haastattelutulokset.</w:t>
      </w:r>
    </w:p>
    <w:p>
      <w:pPr>
        <w:pStyle w:val="BodyText"/>
      </w:pPr>
      <w:r>
        <w:t xml:space="preserve">Haastateltavat: A.A., B.B., C.C., D.D.,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 Tuntematon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Tuntematon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(Tuntematon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AIoT-ratkaisuita on kaupallisina tuotteina saatavilla vähän ja kentällä käytössä olevissa ratkaisuissa voi lähinnä olla joitain varsinaisten IoT-ratkaisuiden piirteitä ja toiminnallisuuksia</w:t>
      </w:r>
      <w:r>
        <w:t xml:space="preserve">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w:t>
      </w:r>
      <w:r>
        <w:t xml:space="preserve"> </w:t>
      </w:r>
      <w:r>
        <w:t xml:space="preserve">(Polvinen 2017a; Tuntematon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(Tuntematon 2018b)</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w:t>
      </w:r>
      <w:r>
        <w:t xml:space="preserve"> </w:t>
      </w:r>
      <w:r>
        <w:t xml:space="preserve">(Tuntematon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w:t>
      </w:r>
      <w:r>
        <w:t xml:space="preserve"> </w:t>
      </w:r>
      <w:r>
        <w:t xml:space="preserve">(Tuntematon 2018b)</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w:t>
      </w:r>
      <w:r>
        <w:t xml:space="preserve"> </w:t>
      </w:r>
      <w:r>
        <w:t xml:space="preserve">(Polvinen 2018)</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(Tuntematon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(Tuntematon 2018b)</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(Tuntematon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(Tuntematon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(Tuntematon 2018b)</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(Tuntematon 2018b)</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(Tuntematon 2018b)</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w:t>
      </w:r>
      <w:r>
        <w:t xml:space="preserve"> </w:t>
      </w:r>
      <w:r>
        <w:t xml:space="preserve">(Tuntematon 2018b)</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(Tuntematon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(Tuntematon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(Tuntematon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w:t>
      </w:r>
      <w:r>
        <w:t xml:space="preserve"> </w:t>
      </w:r>
      <w:r>
        <w:t xml:space="preserve">(Tuntematon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(Tuntematon 2018b)</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(Tuntematon 2018b)</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(Tuntematon 2018b)</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(Tuntematon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IoT-ratkaisuitaan.</w:t>
      </w:r>
      <w:r>
        <w:t xml:space="preserve"> </w:t>
      </w:r>
      <w:r>
        <w:t xml:space="preserve">(Tuntematon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(Tuntematon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(Tuntematon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(Tuntematon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(Tuntematon 2018b)</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30">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31">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p.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32">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33">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34">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35">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36">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37">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 Haastattelu 4.</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38">
        <w:r>
          <w:rPr>
            <w:rStyle w:val="Hyperlink"/>
          </w:rPr>
          <w:t xml:space="preserve">10.1016/j.compag.2017.09.015</w:t>
        </w:r>
      </w:hyperlink>
      <w:r>
        <w:t xml:space="preserve">.</w:t>
      </w:r>
    </w:p>
    <w:p>
      <w:pPr>
        <w:pStyle w:val="Bibliography"/>
      </w:pPr>
      <w:r>
        <w:t xml:space="preserve">Tuntematon (2018a).</w:t>
      </w:r>
      <w:r>
        <w:t xml:space="preserve"> </w:t>
      </w:r>
      <w:r>
        <w:rPr>
          <w:i/>
        </w:rPr>
        <w:t xml:space="preserve">Internet of Things Global Standards Initiative</w:t>
      </w:r>
      <w:r>
        <w:t xml:space="preserve">.</w:t>
      </w:r>
      <w:r>
        <w:t xml:space="preserve"> </w:t>
      </w:r>
      <w:hyperlink r:id="rId139">
        <w:r>
          <w:rPr>
            <w:rStyle w:val="Hyperlink"/>
          </w:rPr>
          <w:t xml:space="preserve">https://www.itu.int/en/ITU-T/gsi/iot/Pages/default.aspx</w:t>
        </w:r>
      </w:hyperlink>
      <w:r>
        <w:t xml:space="preserve"> </w:t>
      </w:r>
      <w:r>
        <w:t xml:space="preserve">[2018-09-16].</w:t>
      </w:r>
    </w:p>
    <w:p>
      <w:pPr>
        <w:pStyle w:val="Bibliography"/>
      </w:pPr>
      <w:r>
        <w:t xml:space="preserve">Tuntematon (2018b). Haastattelu 5.</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ed37a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0833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14c3f2ee"/>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558aec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d1a71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161c756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37f068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8cd4e1e5"/>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0" Target="https://doi.org/10.1016/j.comnet.2010.05.010" TargetMode="External" /><Relationship Type="http://schemas.openxmlformats.org/officeDocument/2006/relationships/hyperlink" Id="rId133" Target="https://doi.org/10.1016/j.compag.2013.08.001" TargetMode="External" /><Relationship Type="http://schemas.openxmlformats.org/officeDocument/2006/relationships/hyperlink" Id="rId138" Target="https://doi.org/10.1016/j.compag.2017.09.015" TargetMode="External" /><Relationship Type="http://schemas.openxmlformats.org/officeDocument/2006/relationships/hyperlink" Id="rId136" Target="https://doi.org/10.1016/j.compag.2017.09.037" TargetMode="External" /><Relationship Type="http://schemas.openxmlformats.org/officeDocument/2006/relationships/hyperlink" Id="rId134" Target="https://doi.org/10.1016/j.future.2013.01.010" TargetMode="External" /><Relationship Type="http://schemas.openxmlformats.org/officeDocument/2006/relationships/hyperlink" Id="rId131" Target="https://doi.org/10.1016/j.inpa.2015.04.002" TargetMode="External" /><Relationship Type="http://schemas.openxmlformats.org/officeDocument/2006/relationships/hyperlink" Id="rId135" Target="https://doi.org/10.1016/j.protcy.2013.11.009" TargetMode="External" /><Relationship Type="http://schemas.openxmlformats.org/officeDocument/2006/relationships/hyperlink" Id="rId132" Target="https://doi.org/10.1037/1089-2680.1.3.311" TargetMode="External" /><Relationship Type="http://schemas.openxmlformats.org/officeDocument/2006/relationships/hyperlink" Id="rId137" Target="https://doi.org/10.1109/TII.2014.2300753" TargetMode="External" /><Relationship Type="http://schemas.openxmlformats.org/officeDocument/2006/relationships/hyperlink" Id="rId139"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2018-09-30T18:04:19Z</dcterms:created>
  <dcterms:modified xsi:type="dcterms:W3CDTF">2018-09-30T18:04:19Z</dcterms:modified>
</cp:coreProperties>
</file>