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BE3F" w14:textId="5BE2DC79" w:rsidR="006D0E62" w:rsidRPr="00C30B09" w:rsidRDefault="006A2BE1" w:rsidP="00D81B7A">
      <w:pPr>
        <w:tabs>
          <w:tab w:val="left" w:pos="2304"/>
        </w:tabs>
        <w:jc w:val="center"/>
        <w:rPr>
          <w:rFonts w:ascii="Cambria" w:hAnsi="Cambria"/>
          <w:b/>
          <w:sz w:val="36"/>
          <w:szCs w:val="36"/>
        </w:rPr>
      </w:pPr>
      <w:r w:rsidRPr="006A2BE1">
        <w:rPr>
          <w:rFonts w:ascii="Cambria" w:hAnsi="Cambria"/>
          <w:b/>
          <w:sz w:val="36"/>
          <w:szCs w:val="36"/>
        </w:rPr>
        <w:t>Predicting injuries in football based on data collected from GPS-based wearable sensors</w:t>
      </w:r>
    </w:p>
    <w:p w14:paraId="27232A97" w14:textId="77777777" w:rsidR="00D81B7A" w:rsidRPr="00A16AEF" w:rsidRDefault="00D81B7A" w:rsidP="00D81B7A">
      <w:pPr>
        <w:tabs>
          <w:tab w:val="left" w:pos="2304"/>
        </w:tabs>
        <w:jc w:val="center"/>
        <w:rPr>
          <w:rFonts w:ascii="Cambria" w:hAnsi="Cambria"/>
          <w:sz w:val="28"/>
          <w:szCs w:val="28"/>
        </w:rPr>
      </w:pPr>
    </w:p>
    <w:p w14:paraId="0B25A313" w14:textId="3339105C" w:rsidR="00D81B7A" w:rsidRDefault="00330131" w:rsidP="00D81B7A">
      <w:pPr>
        <w:tabs>
          <w:tab w:val="left" w:pos="2304"/>
        </w:tabs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Paper Track: </w:t>
      </w:r>
      <w:r w:rsidR="006A2BE1">
        <w:rPr>
          <w:rFonts w:ascii="Cambria" w:hAnsi="Cambria"/>
          <w:sz w:val="28"/>
          <w:szCs w:val="28"/>
        </w:rPr>
        <w:t>Soccer</w:t>
      </w:r>
    </w:p>
    <w:p w14:paraId="2F356028" w14:textId="77777777" w:rsidR="006263BE" w:rsidRPr="00B83047" w:rsidRDefault="006263BE" w:rsidP="00D81B7A">
      <w:pPr>
        <w:tabs>
          <w:tab w:val="left" w:pos="2304"/>
        </w:tabs>
        <w:jc w:val="center"/>
        <w:rPr>
          <w:rFonts w:ascii="Cambria" w:hAnsi="Cambria"/>
          <w:sz w:val="28"/>
          <w:szCs w:val="28"/>
        </w:rPr>
      </w:pPr>
    </w:p>
    <w:p w14:paraId="3DEDB691" w14:textId="47C1E665" w:rsidR="00D81B7A" w:rsidRDefault="00330131" w:rsidP="00D81B7A">
      <w:pPr>
        <w:tabs>
          <w:tab w:val="left" w:pos="2304"/>
        </w:tabs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Tomasz Piłka</w:t>
      </w:r>
      <w:r w:rsidRPr="006263BE">
        <w:rPr>
          <w:rFonts w:ascii="Courier New" w:hAnsi="Courier New" w:cs="Courier New"/>
          <w:sz w:val="28"/>
          <w:szCs w:val="28"/>
          <w:vertAlign w:val="superscript"/>
        </w:rPr>
        <w:t>†‡</w:t>
      </w:r>
      <w:r>
        <w:rPr>
          <w:rFonts w:ascii="Cambria" w:hAnsi="Cambria"/>
          <w:sz w:val="28"/>
          <w:szCs w:val="28"/>
        </w:rPr>
        <w:t>, Bartłomiej Grzelak</w:t>
      </w:r>
      <w:r w:rsidR="006263BE" w:rsidRPr="006263BE">
        <w:rPr>
          <w:rFonts w:ascii="Courier New" w:hAnsi="Courier New" w:cs="Courier New"/>
          <w:sz w:val="28"/>
          <w:szCs w:val="28"/>
          <w:vertAlign w:val="superscript"/>
        </w:rPr>
        <w:t>‡</w:t>
      </w:r>
      <w:r>
        <w:rPr>
          <w:rFonts w:ascii="Cambria" w:hAnsi="Cambria"/>
          <w:sz w:val="28"/>
          <w:szCs w:val="28"/>
        </w:rPr>
        <w:t>, Tomasz Górecki</w:t>
      </w:r>
      <w:r w:rsidR="006263BE" w:rsidRPr="006263BE">
        <w:rPr>
          <w:rFonts w:ascii="Courier New" w:hAnsi="Courier New" w:cs="Courier New"/>
          <w:sz w:val="28"/>
          <w:szCs w:val="28"/>
          <w:vertAlign w:val="superscript"/>
        </w:rPr>
        <w:t>†</w:t>
      </w:r>
      <w:r>
        <w:rPr>
          <w:rFonts w:ascii="Cambria" w:hAnsi="Cambria"/>
          <w:sz w:val="28"/>
          <w:szCs w:val="28"/>
        </w:rPr>
        <w:t>, Krzysztof</w:t>
      </w:r>
      <w:r w:rsidR="00E8182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Dyczkowski</w:t>
      </w:r>
      <w:r w:rsidR="006263BE" w:rsidRPr="006263BE">
        <w:rPr>
          <w:rFonts w:ascii="Courier New" w:hAnsi="Courier New" w:cs="Courier New"/>
          <w:sz w:val="28"/>
          <w:szCs w:val="28"/>
          <w:vertAlign w:val="superscript"/>
        </w:rPr>
        <w:t>†</w:t>
      </w:r>
      <w:r>
        <w:rPr>
          <w:rFonts w:ascii="Cambria" w:hAnsi="Cambria"/>
          <w:sz w:val="28"/>
          <w:szCs w:val="28"/>
        </w:rPr>
        <w:t>, Aleksandra Sadurska</w:t>
      </w:r>
      <w:r w:rsidR="006263BE" w:rsidRPr="006263BE">
        <w:rPr>
          <w:rFonts w:ascii="Courier New" w:hAnsi="Courier New" w:cs="Courier New"/>
          <w:sz w:val="28"/>
          <w:szCs w:val="28"/>
          <w:vertAlign w:val="superscript"/>
        </w:rPr>
        <w:t>†</w:t>
      </w:r>
    </w:p>
    <w:p w14:paraId="044F1C1C" w14:textId="071317CB" w:rsidR="00330131" w:rsidRPr="00330131" w:rsidRDefault="006263BE" w:rsidP="00330131">
      <w:pPr>
        <w:tabs>
          <w:tab w:val="left" w:pos="2304"/>
        </w:tabs>
        <w:jc w:val="center"/>
        <w:rPr>
          <w:rFonts w:ascii="Cambria" w:hAnsi="Cambria"/>
          <w:sz w:val="22"/>
          <w:szCs w:val="22"/>
        </w:rPr>
      </w:pPr>
      <w:r w:rsidRPr="006263BE">
        <w:rPr>
          <w:rFonts w:ascii="Courier New" w:hAnsi="Courier New" w:cs="Courier New"/>
          <w:sz w:val="28"/>
          <w:szCs w:val="28"/>
          <w:vertAlign w:val="superscript"/>
        </w:rPr>
        <w:t>†</w:t>
      </w:r>
      <w:r w:rsidR="00330131" w:rsidRPr="00330131">
        <w:rPr>
          <w:rFonts w:ascii="Cambria" w:hAnsi="Cambria"/>
          <w:sz w:val="22"/>
          <w:szCs w:val="22"/>
        </w:rPr>
        <w:t>Adam Mickiewicz University, Poznań, Poland {</w:t>
      </w:r>
      <w:proofErr w:type="spellStart"/>
      <w:r w:rsidR="00330131" w:rsidRPr="00330131">
        <w:rPr>
          <w:rFonts w:ascii="Cambria" w:hAnsi="Cambria"/>
          <w:sz w:val="22"/>
          <w:szCs w:val="22"/>
        </w:rPr>
        <w:t>pilka</w:t>
      </w:r>
      <w:proofErr w:type="spellEnd"/>
      <w:r w:rsidR="00330131" w:rsidRPr="00330131">
        <w:rPr>
          <w:rFonts w:ascii="Cambria" w:hAnsi="Cambria"/>
          <w:sz w:val="22"/>
          <w:szCs w:val="22"/>
        </w:rPr>
        <w:t>, tomasz.gorecki,chris</w:t>
      </w:r>
      <w:r>
        <w:rPr>
          <w:rFonts w:ascii="Cambria" w:hAnsi="Cambria"/>
          <w:sz w:val="22"/>
          <w:szCs w:val="22"/>
        </w:rPr>
        <w:t>,alesad3</w:t>
      </w:r>
      <w:r w:rsidR="00330131" w:rsidRPr="00330131">
        <w:rPr>
          <w:rFonts w:ascii="Cambria" w:hAnsi="Cambria"/>
          <w:sz w:val="22"/>
          <w:szCs w:val="22"/>
        </w:rPr>
        <w:t xml:space="preserve"> }@amu.edu.pl,</w:t>
      </w:r>
    </w:p>
    <w:p w14:paraId="78741E71" w14:textId="773576AD" w:rsidR="00330131" w:rsidRPr="00330131" w:rsidRDefault="006263BE" w:rsidP="00330131">
      <w:pPr>
        <w:tabs>
          <w:tab w:val="left" w:pos="2304"/>
        </w:tabs>
        <w:jc w:val="center"/>
        <w:rPr>
          <w:rFonts w:ascii="Cambria" w:hAnsi="Cambria"/>
          <w:sz w:val="22"/>
          <w:szCs w:val="22"/>
        </w:rPr>
      </w:pPr>
      <w:r w:rsidRPr="006263BE">
        <w:rPr>
          <w:rFonts w:ascii="Courier New" w:hAnsi="Courier New" w:cs="Courier New"/>
          <w:sz w:val="28"/>
          <w:szCs w:val="28"/>
          <w:vertAlign w:val="superscript"/>
        </w:rPr>
        <w:t>‡</w:t>
      </w:r>
      <w:r w:rsidR="00330131" w:rsidRPr="00330131">
        <w:rPr>
          <w:rFonts w:ascii="Cambria" w:hAnsi="Cambria"/>
          <w:sz w:val="22"/>
          <w:szCs w:val="22"/>
        </w:rPr>
        <w:t xml:space="preserve">KKS Lech Poznań, Poznań, Poland </w:t>
      </w:r>
      <w:r>
        <w:rPr>
          <w:rFonts w:ascii="Cambria" w:hAnsi="Cambria"/>
          <w:sz w:val="22"/>
          <w:szCs w:val="22"/>
        </w:rPr>
        <w:t>{tomasz.pilka,</w:t>
      </w:r>
      <w:r w:rsidR="00330131" w:rsidRPr="00330131">
        <w:rPr>
          <w:rFonts w:ascii="Cambria" w:hAnsi="Cambria"/>
          <w:sz w:val="22"/>
          <w:szCs w:val="22"/>
        </w:rPr>
        <w:t>bartlomiej.grzelak</w:t>
      </w:r>
      <w:r>
        <w:rPr>
          <w:rFonts w:ascii="Cambria" w:hAnsi="Cambria"/>
          <w:sz w:val="22"/>
          <w:szCs w:val="22"/>
        </w:rPr>
        <w:t>}</w:t>
      </w:r>
      <w:r w:rsidR="00330131" w:rsidRPr="00330131">
        <w:rPr>
          <w:rFonts w:ascii="Cambria" w:hAnsi="Cambria"/>
          <w:sz w:val="22"/>
          <w:szCs w:val="22"/>
        </w:rPr>
        <w:t>@lechpoznan.pl</w:t>
      </w:r>
    </w:p>
    <w:p w14:paraId="6381A806" w14:textId="77777777" w:rsidR="00D81B7A" w:rsidRPr="00C30B09" w:rsidRDefault="00D81B7A" w:rsidP="00790254">
      <w:pPr>
        <w:tabs>
          <w:tab w:val="left" w:pos="2304"/>
        </w:tabs>
        <w:jc w:val="both"/>
        <w:rPr>
          <w:rFonts w:ascii="Cambria" w:hAnsi="Cambria"/>
        </w:rPr>
      </w:pPr>
    </w:p>
    <w:p w14:paraId="0017D5BC" w14:textId="448EACD4" w:rsidR="00D81B7A" w:rsidRPr="00B83047" w:rsidRDefault="001E405C" w:rsidP="00D81B7A">
      <w:pPr>
        <w:pStyle w:val="Akapitzlist"/>
        <w:numPr>
          <w:ilvl w:val="0"/>
          <w:numId w:val="1"/>
        </w:numPr>
        <w:tabs>
          <w:tab w:val="left" w:pos="2304"/>
        </w:tabs>
        <w:rPr>
          <w:rFonts w:ascii="Cambria" w:hAnsi="Cambria"/>
          <w:b/>
          <w:sz w:val="32"/>
          <w:szCs w:val="32"/>
        </w:rPr>
      </w:pPr>
      <w:r w:rsidRPr="001E405C">
        <w:rPr>
          <w:rFonts w:ascii="Cambria" w:hAnsi="Cambria"/>
          <w:b/>
          <w:sz w:val="32"/>
          <w:szCs w:val="32"/>
        </w:rPr>
        <w:t>Introduction</w:t>
      </w:r>
    </w:p>
    <w:p w14:paraId="2D6F41D3" w14:textId="77777777" w:rsidR="00D81B7A" w:rsidRPr="00C30B09" w:rsidRDefault="00D81B7A" w:rsidP="00D81B7A">
      <w:pPr>
        <w:tabs>
          <w:tab w:val="left" w:pos="2304"/>
        </w:tabs>
        <w:rPr>
          <w:rFonts w:ascii="Cambria" w:hAnsi="Cambria"/>
        </w:rPr>
      </w:pPr>
    </w:p>
    <w:p w14:paraId="0A954B70" w14:textId="5BD81210" w:rsidR="008E5B7F" w:rsidRDefault="008E5B7F" w:rsidP="008E5B7F">
      <w:pPr>
        <w:tabs>
          <w:tab w:val="left" w:pos="2304"/>
        </w:tabs>
        <w:spacing w:after="220"/>
        <w:jc w:val="both"/>
        <w:rPr>
          <w:rFonts w:ascii="Cambria" w:hAnsi="Cambria"/>
          <w:sz w:val="22"/>
          <w:szCs w:val="22"/>
        </w:rPr>
      </w:pPr>
      <w:r w:rsidRPr="008E5B7F">
        <w:rPr>
          <w:rFonts w:ascii="Cambria" w:hAnsi="Cambria"/>
          <w:sz w:val="22"/>
          <w:szCs w:val="22"/>
        </w:rPr>
        <w:t>Our research aims to develop methods to predict the risk of non-contact</w:t>
      </w:r>
      <w:r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injuries in elite male footballers. The preparation of such a model will enable</w:t>
      </w:r>
      <w:r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the construction of a tool that can monitor individual players’ training and</w:t>
      </w:r>
      <w:r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match loads on an ongoing basis and adjusts micro-training cycles to</w:t>
      </w:r>
      <w:r w:rsidR="0059273C">
        <w:rPr>
          <w:rFonts w:ascii="Cambria" w:hAnsi="Cambria"/>
          <w:sz w:val="22"/>
          <w:szCs w:val="22"/>
        </w:rPr>
        <w:t> </w:t>
      </w:r>
      <w:r w:rsidRPr="008E5B7F">
        <w:rPr>
          <w:rFonts w:ascii="Cambria" w:hAnsi="Cambria"/>
          <w:sz w:val="22"/>
          <w:szCs w:val="22"/>
        </w:rPr>
        <w:t>minimize</w:t>
      </w:r>
      <w:r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the risk of injury. The motor preparation team will receive an ongoing report on</w:t>
      </w:r>
      <w:r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the level of injury risk. Based on existing research, we know that both high loads</w:t>
      </w:r>
      <w:r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and under-training significantly increase the risk of injury. In addition, changes</w:t>
      </w:r>
      <w:r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 xml:space="preserve">in training load from </w:t>
      </w:r>
      <w:proofErr w:type="spellStart"/>
      <w:r w:rsidRPr="008E5B7F">
        <w:rPr>
          <w:rFonts w:ascii="Cambria" w:hAnsi="Cambria"/>
          <w:sz w:val="22"/>
          <w:szCs w:val="22"/>
        </w:rPr>
        <w:t>microcycle</w:t>
      </w:r>
      <w:proofErr w:type="spellEnd"/>
      <w:r w:rsidRPr="008E5B7F">
        <w:rPr>
          <w:rFonts w:ascii="Cambria" w:hAnsi="Cambria"/>
          <w:sz w:val="22"/>
          <w:szCs w:val="22"/>
        </w:rPr>
        <w:t xml:space="preserve"> to </w:t>
      </w:r>
      <w:proofErr w:type="spellStart"/>
      <w:r w:rsidRPr="008E5B7F">
        <w:rPr>
          <w:rFonts w:ascii="Cambria" w:hAnsi="Cambria"/>
          <w:sz w:val="22"/>
          <w:szCs w:val="22"/>
        </w:rPr>
        <w:t>microcycle</w:t>
      </w:r>
      <w:proofErr w:type="spellEnd"/>
      <w:r w:rsidRPr="008E5B7F">
        <w:rPr>
          <w:rFonts w:ascii="Cambria" w:hAnsi="Cambria"/>
          <w:sz w:val="22"/>
          <w:szCs w:val="22"/>
        </w:rPr>
        <w:t xml:space="preserve"> are very important in this case</w:t>
      </w:r>
      <w:r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and are an additional risk factor.</w:t>
      </w:r>
      <w:r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The research is carried out together with the science department of the KKS</w:t>
      </w:r>
      <w:r w:rsidR="00E80F18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 xml:space="preserve">Lech Poznań football club. </w:t>
      </w:r>
    </w:p>
    <w:p w14:paraId="6E86146E" w14:textId="7EA3873E" w:rsidR="008E5B7F" w:rsidRPr="00B202DB" w:rsidRDefault="001E405C" w:rsidP="00B202DB">
      <w:pPr>
        <w:pStyle w:val="Akapitzlist"/>
        <w:numPr>
          <w:ilvl w:val="0"/>
          <w:numId w:val="1"/>
        </w:numPr>
        <w:tabs>
          <w:tab w:val="left" w:pos="2304"/>
        </w:tabs>
        <w:rPr>
          <w:rFonts w:ascii="Cambria" w:hAnsi="Cambria"/>
          <w:b/>
          <w:sz w:val="32"/>
          <w:szCs w:val="32"/>
        </w:rPr>
      </w:pPr>
      <w:r w:rsidRPr="00B202DB">
        <w:rPr>
          <w:rFonts w:ascii="Cambria" w:hAnsi="Cambria"/>
          <w:b/>
          <w:sz w:val="32"/>
          <w:szCs w:val="32"/>
        </w:rPr>
        <w:t>Dataset</w:t>
      </w:r>
      <w:r w:rsidR="008E5B7F" w:rsidRPr="00B202DB">
        <w:rPr>
          <w:rFonts w:ascii="Cambria" w:hAnsi="Cambria"/>
          <w:b/>
          <w:sz w:val="32"/>
          <w:szCs w:val="32"/>
        </w:rPr>
        <w:t xml:space="preserve"> </w:t>
      </w:r>
    </w:p>
    <w:p w14:paraId="63DD4F42" w14:textId="7B74C284" w:rsidR="008E5B7F" w:rsidRDefault="008E5B7F" w:rsidP="00E80F18">
      <w:pPr>
        <w:tabs>
          <w:tab w:val="left" w:pos="2304"/>
        </w:tabs>
        <w:spacing w:after="220"/>
        <w:jc w:val="both"/>
        <w:rPr>
          <w:rFonts w:ascii="Cambria" w:hAnsi="Cambria"/>
          <w:sz w:val="22"/>
          <w:szCs w:val="22"/>
        </w:rPr>
      </w:pPr>
      <w:r w:rsidRPr="008E5B7F">
        <w:rPr>
          <w:rFonts w:ascii="Cambria" w:hAnsi="Cambria"/>
          <w:sz w:val="22"/>
          <w:szCs w:val="22"/>
        </w:rPr>
        <w:t>Data was collected from two seasons of the Polish</w:t>
      </w:r>
      <w:r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 xml:space="preserve">professional football league (Ekstraklasa) among 36 players. Data were </w:t>
      </w:r>
      <w:r w:rsidR="00E80F18" w:rsidRPr="008E5B7F">
        <w:rPr>
          <w:rFonts w:ascii="Cambria" w:hAnsi="Cambria"/>
          <w:sz w:val="22"/>
          <w:szCs w:val="22"/>
        </w:rPr>
        <w:t>collected using</w:t>
      </w:r>
      <w:r w:rsidRPr="008E5B7F">
        <w:rPr>
          <w:rFonts w:ascii="Cambria" w:hAnsi="Cambria"/>
          <w:sz w:val="22"/>
          <w:szCs w:val="22"/>
        </w:rPr>
        <w:t xml:space="preserve"> wearable global positioning trackers from Catapult [2], during both training and matches. The data for each </w:t>
      </w:r>
      <w:proofErr w:type="spellStart"/>
      <w:r w:rsidRPr="008E5B7F">
        <w:rPr>
          <w:rFonts w:ascii="Cambria" w:hAnsi="Cambria"/>
          <w:sz w:val="22"/>
          <w:szCs w:val="22"/>
        </w:rPr>
        <w:t>microcycle</w:t>
      </w:r>
      <w:proofErr w:type="spellEnd"/>
      <w:r w:rsidRPr="008E5B7F">
        <w:rPr>
          <w:rFonts w:ascii="Cambria" w:hAnsi="Cambria"/>
          <w:sz w:val="22"/>
          <w:szCs w:val="22"/>
        </w:rPr>
        <w:t xml:space="preserve"> were divided into two subsets.</w:t>
      </w:r>
      <w:r w:rsidR="00E80F18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The first aggregates activities from the entire training week to match day, while</w:t>
      </w:r>
      <w:r w:rsidR="00E80F18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the second aggregates match day results. The dataset used in the study contains information on 693/371 events (36/31 injuries) respectively on train/test</w:t>
      </w:r>
      <w:r w:rsidR="00E80F18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datasets.</w:t>
      </w:r>
    </w:p>
    <w:p w14:paraId="77AE1CDF" w14:textId="4356108D" w:rsidR="009B1223" w:rsidRPr="00B202DB" w:rsidRDefault="00B202DB" w:rsidP="00B202DB">
      <w:pPr>
        <w:pStyle w:val="Akapitzlist"/>
        <w:numPr>
          <w:ilvl w:val="0"/>
          <w:numId w:val="1"/>
        </w:numPr>
        <w:tabs>
          <w:tab w:val="left" w:pos="2304"/>
        </w:tabs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Results</w:t>
      </w:r>
    </w:p>
    <w:p w14:paraId="6D6A1B74" w14:textId="72BDAA39" w:rsidR="008E5B7F" w:rsidRDefault="008E5B7F" w:rsidP="00E80F18">
      <w:pPr>
        <w:tabs>
          <w:tab w:val="left" w:pos="2304"/>
        </w:tabs>
        <w:spacing w:after="220"/>
        <w:jc w:val="both"/>
        <w:rPr>
          <w:rFonts w:ascii="Cambria" w:hAnsi="Cambria"/>
          <w:sz w:val="22"/>
          <w:szCs w:val="22"/>
        </w:rPr>
      </w:pPr>
      <w:r w:rsidRPr="008E5B7F">
        <w:rPr>
          <w:rFonts w:ascii="Cambria" w:hAnsi="Cambria"/>
          <w:sz w:val="22"/>
          <w:szCs w:val="22"/>
        </w:rPr>
        <w:t>In the first phase of the research, expert knowledge was gathered from the</w:t>
      </w:r>
      <w:r w:rsidR="00E80F18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motor preparation team (regarding the influence of the training on the occurrence of injury events). Based on this knowledge and an analysis of the available</w:t>
      </w:r>
      <w:r w:rsidR="00E80F18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literature describing risk factors, a set of decision rules was developed as the first</w:t>
      </w:r>
      <w:r w:rsidR="00E80F18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model (Model 1). Recent literature has discussed the need to not only quantify</w:t>
      </w:r>
      <w:r w:rsidR="00E80F18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the load in absolute terms but also measure the quantity of change [</w:t>
      </w:r>
      <w:r w:rsidR="00716000">
        <w:rPr>
          <w:rFonts w:ascii="Cambria" w:hAnsi="Cambria"/>
          <w:sz w:val="22"/>
          <w:szCs w:val="22"/>
        </w:rPr>
        <w:t xml:space="preserve">1, </w:t>
      </w:r>
      <w:r w:rsidRPr="008E5B7F">
        <w:rPr>
          <w:rFonts w:ascii="Cambria" w:hAnsi="Cambria"/>
          <w:sz w:val="22"/>
          <w:szCs w:val="22"/>
        </w:rPr>
        <w:t>3, 4].</w:t>
      </w:r>
    </w:p>
    <w:p w14:paraId="446033EB" w14:textId="12696512" w:rsidR="008E5B7F" w:rsidRPr="008E5B7F" w:rsidRDefault="008E5B7F" w:rsidP="00E80F18">
      <w:pPr>
        <w:tabs>
          <w:tab w:val="left" w:pos="2304"/>
        </w:tabs>
        <w:spacing w:after="220"/>
        <w:jc w:val="both"/>
        <w:rPr>
          <w:rFonts w:ascii="Cambria" w:hAnsi="Cambria"/>
          <w:sz w:val="22"/>
          <w:szCs w:val="22"/>
        </w:rPr>
      </w:pPr>
      <w:r w:rsidRPr="008E5B7F">
        <w:rPr>
          <w:rFonts w:ascii="Cambria" w:hAnsi="Cambria"/>
          <w:sz w:val="22"/>
          <w:szCs w:val="22"/>
        </w:rPr>
        <w:t>In the second phase, a fuzzy rule-based decision-making system takes into account imprecise information (Model 2) was prepared. It was developed based on</w:t>
      </w:r>
      <w:r w:rsidR="00E80F18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Model 1 and data analysis methods (</w:t>
      </w:r>
      <w:proofErr w:type="spellStart"/>
      <w:r w:rsidRPr="008E5B7F">
        <w:rPr>
          <w:rFonts w:ascii="Cambria" w:hAnsi="Cambria"/>
          <w:sz w:val="22"/>
          <w:szCs w:val="22"/>
        </w:rPr>
        <w:t>eg.</w:t>
      </w:r>
      <w:proofErr w:type="spellEnd"/>
      <w:r w:rsidRPr="008E5B7F">
        <w:rPr>
          <w:rFonts w:ascii="Cambria" w:hAnsi="Cambria"/>
          <w:sz w:val="22"/>
          <w:szCs w:val="22"/>
        </w:rPr>
        <w:t xml:space="preserve"> clustering). As a third model (Model 3),</w:t>
      </w:r>
      <w:r w:rsidR="00E80F18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we decided to use machine learning methods to build a</w:t>
      </w:r>
      <w:r w:rsidR="0059273C">
        <w:rPr>
          <w:rFonts w:ascii="Cambria" w:hAnsi="Cambria"/>
          <w:sz w:val="22"/>
          <w:szCs w:val="22"/>
        </w:rPr>
        <w:t> </w:t>
      </w:r>
      <w:r w:rsidRPr="008E5B7F">
        <w:rPr>
          <w:rFonts w:ascii="Cambria" w:hAnsi="Cambria"/>
          <w:sz w:val="22"/>
          <w:szCs w:val="22"/>
        </w:rPr>
        <w:t>classifier. We used the</w:t>
      </w:r>
      <w:r w:rsidR="00E80F18">
        <w:rPr>
          <w:rFonts w:ascii="Cambria" w:hAnsi="Cambria"/>
          <w:sz w:val="22"/>
          <w:szCs w:val="22"/>
        </w:rPr>
        <w:t xml:space="preserve"> </w:t>
      </w:r>
      <w:proofErr w:type="spellStart"/>
      <w:r w:rsidRPr="008E5B7F">
        <w:rPr>
          <w:rFonts w:ascii="Cambria" w:hAnsi="Cambria"/>
          <w:sz w:val="22"/>
          <w:szCs w:val="22"/>
        </w:rPr>
        <w:t>XGBoost</w:t>
      </w:r>
      <w:proofErr w:type="spellEnd"/>
      <w:r w:rsidRPr="008E5B7F">
        <w:rPr>
          <w:rFonts w:ascii="Cambria" w:hAnsi="Cambria"/>
          <w:sz w:val="22"/>
          <w:szCs w:val="22"/>
        </w:rPr>
        <w:t xml:space="preserve"> algorithm which is a gradient boosting algorithm. This is a machine</w:t>
      </w:r>
      <w:r w:rsidR="00E80F18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learning technique that creates a predictive model in the form of an ensemble</w:t>
      </w:r>
      <w:r w:rsidR="00E80F18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of weak predictive models, usually decision trees. It builds the model like other</w:t>
      </w:r>
      <w:r w:rsidR="00E80F18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boosting methods, but generalizes them, allowing an arbitrary differentiable loss</w:t>
      </w:r>
      <w:r w:rsidR="00E80F18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function to be optimized.</w:t>
      </w:r>
    </w:p>
    <w:p w14:paraId="15417D65" w14:textId="08934749" w:rsidR="008E5B7F" w:rsidRPr="008E5B7F" w:rsidRDefault="008E5B7F" w:rsidP="0059273C">
      <w:pPr>
        <w:tabs>
          <w:tab w:val="left" w:pos="2304"/>
        </w:tabs>
        <w:spacing w:after="220"/>
        <w:jc w:val="both"/>
        <w:rPr>
          <w:rFonts w:ascii="Cambria" w:hAnsi="Cambria"/>
          <w:sz w:val="22"/>
          <w:szCs w:val="22"/>
        </w:rPr>
      </w:pPr>
      <w:r w:rsidRPr="008E5B7F">
        <w:rPr>
          <w:rFonts w:ascii="Cambria" w:hAnsi="Cambria"/>
          <w:sz w:val="22"/>
          <w:szCs w:val="22"/>
        </w:rPr>
        <w:lastRenderedPageBreak/>
        <w:t>The performance analysis of all three models was performed. We used data</w:t>
      </w:r>
      <w:r w:rsidR="000116E0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from two rounds (spring round of season 2020/2021 and fall round of season</w:t>
      </w:r>
      <w:r w:rsidR="000116E0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2021/2022) as learning data and data from one round (spring round of season</w:t>
      </w:r>
      <w:r w:rsidR="000116E0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2021/2022) as test data. The results of the effectiveness of best model (Model 3</w:t>
      </w:r>
      <w:r w:rsidR="000116E0">
        <w:rPr>
          <w:rFonts w:ascii="Cambria" w:hAnsi="Cambria"/>
          <w:sz w:val="22"/>
          <w:szCs w:val="22"/>
        </w:rPr>
        <w:t xml:space="preserve">) </w:t>
      </w:r>
      <w:r w:rsidRPr="008E5B7F">
        <w:rPr>
          <w:rFonts w:ascii="Cambria" w:hAnsi="Cambria"/>
          <w:sz w:val="22"/>
          <w:szCs w:val="22"/>
        </w:rPr>
        <w:t>are presented in Table 1.</w:t>
      </w:r>
    </w:p>
    <w:p w14:paraId="66C3AA64" w14:textId="77777777" w:rsidR="000116E0" w:rsidRDefault="000116E0" w:rsidP="008E5B7F">
      <w:pPr>
        <w:tabs>
          <w:tab w:val="left" w:pos="2304"/>
        </w:tabs>
        <w:spacing w:after="220"/>
        <w:rPr>
          <w:rFonts w:ascii="Cambria" w:hAnsi="Cambria"/>
          <w:sz w:val="22"/>
          <w:szCs w:val="22"/>
        </w:rPr>
      </w:pPr>
    </w:p>
    <w:tbl>
      <w:tblPr>
        <w:tblStyle w:val="Tabela-Siatka"/>
        <w:tblpPr w:leftFromText="141" w:rightFromText="141" w:vertAnchor="text" w:horzAnchor="margin" w:tblpXSpec="center" w:tblpY="368"/>
        <w:tblW w:w="0" w:type="auto"/>
        <w:tblLook w:val="04A0" w:firstRow="1" w:lastRow="0" w:firstColumn="1" w:lastColumn="0" w:noHBand="0" w:noVBand="1"/>
      </w:tblPr>
      <w:tblGrid>
        <w:gridCol w:w="1137"/>
        <w:gridCol w:w="1170"/>
        <w:gridCol w:w="1037"/>
        <w:gridCol w:w="1037"/>
      </w:tblGrid>
      <w:tr w:rsidR="00EC603D" w14:paraId="3E5C734C" w14:textId="77777777" w:rsidTr="00EC603D">
        <w:trPr>
          <w:trHeight w:val="362"/>
        </w:trPr>
        <w:tc>
          <w:tcPr>
            <w:tcW w:w="1137" w:type="dxa"/>
            <w:vAlign w:val="bottom"/>
          </w:tcPr>
          <w:p w14:paraId="515D22CA" w14:textId="77777777" w:rsidR="00EC603D" w:rsidRPr="000116E0" w:rsidRDefault="00EC603D" w:rsidP="00EC603D">
            <w:pPr>
              <w:tabs>
                <w:tab w:val="left" w:pos="2304"/>
              </w:tabs>
              <w:spacing w:after="220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0116E0">
              <w:rPr>
                <w:rFonts w:ascii="Cambria" w:hAnsi="Cambria"/>
                <w:b/>
                <w:bCs/>
                <w:sz w:val="22"/>
                <w:szCs w:val="22"/>
              </w:rPr>
              <w:t>Accuracy</w:t>
            </w:r>
          </w:p>
        </w:tc>
        <w:tc>
          <w:tcPr>
            <w:tcW w:w="1170" w:type="dxa"/>
            <w:vAlign w:val="bottom"/>
          </w:tcPr>
          <w:p w14:paraId="7D0C7FD0" w14:textId="77777777" w:rsidR="00EC603D" w:rsidRPr="000116E0" w:rsidRDefault="00EC603D" w:rsidP="00EC603D">
            <w:pPr>
              <w:tabs>
                <w:tab w:val="left" w:pos="2304"/>
              </w:tabs>
              <w:spacing w:after="220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0116E0">
              <w:rPr>
                <w:rFonts w:ascii="Cambria" w:hAnsi="Cambria"/>
                <w:b/>
                <w:bCs/>
                <w:sz w:val="22"/>
                <w:szCs w:val="22"/>
              </w:rPr>
              <w:t>Precision</w:t>
            </w:r>
          </w:p>
        </w:tc>
        <w:tc>
          <w:tcPr>
            <w:tcW w:w="1037" w:type="dxa"/>
            <w:vAlign w:val="bottom"/>
          </w:tcPr>
          <w:p w14:paraId="639045FF" w14:textId="77777777" w:rsidR="00EC603D" w:rsidRPr="000116E0" w:rsidRDefault="00EC603D" w:rsidP="00EC603D">
            <w:pPr>
              <w:tabs>
                <w:tab w:val="left" w:pos="2304"/>
              </w:tabs>
              <w:spacing w:after="220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0116E0">
              <w:rPr>
                <w:rFonts w:ascii="Cambria" w:hAnsi="Cambria"/>
                <w:b/>
                <w:bCs/>
                <w:sz w:val="22"/>
                <w:szCs w:val="22"/>
              </w:rPr>
              <w:t>Recall</w:t>
            </w:r>
          </w:p>
        </w:tc>
        <w:tc>
          <w:tcPr>
            <w:tcW w:w="1037" w:type="dxa"/>
            <w:vAlign w:val="bottom"/>
          </w:tcPr>
          <w:p w14:paraId="30DA3628" w14:textId="77777777" w:rsidR="00EC603D" w:rsidRPr="000116E0" w:rsidRDefault="00EC603D" w:rsidP="00EC603D">
            <w:pPr>
              <w:tabs>
                <w:tab w:val="left" w:pos="2304"/>
              </w:tabs>
              <w:spacing w:after="220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0116E0">
              <w:rPr>
                <w:rFonts w:ascii="Cambria" w:hAnsi="Cambria"/>
                <w:b/>
                <w:bCs/>
                <w:sz w:val="22"/>
                <w:szCs w:val="22"/>
              </w:rPr>
              <w:t>F1</w:t>
            </w:r>
          </w:p>
        </w:tc>
      </w:tr>
      <w:tr w:rsidR="00EC603D" w14:paraId="7B1497C9" w14:textId="77777777" w:rsidTr="00EC603D">
        <w:trPr>
          <w:trHeight w:val="155"/>
        </w:trPr>
        <w:tc>
          <w:tcPr>
            <w:tcW w:w="1137" w:type="dxa"/>
          </w:tcPr>
          <w:p w14:paraId="7BC0117C" w14:textId="77777777" w:rsidR="00EC603D" w:rsidRDefault="00EC603D" w:rsidP="00EC603D">
            <w:pPr>
              <w:tabs>
                <w:tab w:val="left" w:pos="2304"/>
              </w:tabs>
              <w:spacing w:after="220"/>
              <w:rPr>
                <w:rFonts w:ascii="Cambria" w:hAnsi="Cambria"/>
                <w:sz w:val="22"/>
                <w:szCs w:val="22"/>
              </w:rPr>
            </w:pPr>
            <w:r w:rsidRPr="008E5B7F">
              <w:rPr>
                <w:rFonts w:ascii="Cambria" w:hAnsi="Cambria"/>
                <w:sz w:val="22"/>
                <w:szCs w:val="22"/>
              </w:rPr>
              <w:t>89.5%</w:t>
            </w:r>
          </w:p>
        </w:tc>
        <w:tc>
          <w:tcPr>
            <w:tcW w:w="1170" w:type="dxa"/>
          </w:tcPr>
          <w:p w14:paraId="126BAAF3" w14:textId="77777777" w:rsidR="00EC603D" w:rsidRDefault="00EC603D" w:rsidP="00EC603D">
            <w:pPr>
              <w:tabs>
                <w:tab w:val="left" w:pos="2304"/>
              </w:tabs>
              <w:spacing w:after="220"/>
              <w:rPr>
                <w:rFonts w:ascii="Cambria" w:hAnsi="Cambria"/>
                <w:sz w:val="22"/>
                <w:szCs w:val="22"/>
              </w:rPr>
            </w:pPr>
            <w:r w:rsidRPr="008E5B7F">
              <w:rPr>
                <w:rFonts w:ascii="Cambria" w:hAnsi="Cambria"/>
                <w:sz w:val="22"/>
                <w:szCs w:val="22"/>
              </w:rPr>
              <w:t>92.4%</w:t>
            </w:r>
          </w:p>
        </w:tc>
        <w:tc>
          <w:tcPr>
            <w:tcW w:w="1037" w:type="dxa"/>
          </w:tcPr>
          <w:p w14:paraId="4789EB24" w14:textId="77777777" w:rsidR="00EC603D" w:rsidRDefault="00EC603D" w:rsidP="00EC603D">
            <w:pPr>
              <w:tabs>
                <w:tab w:val="left" w:pos="2304"/>
              </w:tabs>
              <w:spacing w:after="220"/>
              <w:rPr>
                <w:rFonts w:ascii="Cambria" w:hAnsi="Cambria"/>
                <w:sz w:val="22"/>
                <w:szCs w:val="22"/>
              </w:rPr>
            </w:pPr>
            <w:r w:rsidRPr="008E5B7F">
              <w:rPr>
                <w:rFonts w:ascii="Cambria" w:hAnsi="Cambria"/>
                <w:sz w:val="22"/>
                <w:szCs w:val="22"/>
              </w:rPr>
              <w:t>96.5%</w:t>
            </w:r>
          </w:p>
        </w:tc>
        <w:tc>
          <w:tcPr>
            <w:tcW w:w="1037" w:type="dxa"/>
          </w:tcPr>
          <w:p w14:paraId="110EAD21" w14:textId="77777777" w:rsidR="00EC603D" w:rsidRDefault="00EC603D" w:rsidP="00EC603D">
            <w:pPr>
              <w:tabs>
                <w:tab w:val="left" w:pos="2304"/>
              </w:tabs>
              <w:spacing w:after="220"/>
              <w:rPr>
                <w:rFonts w:ascii="Cambria" w:hAnsi="Cambria"/>
                <w:sz w:val="22"/>
                <w:szCs w:val="22"/>
              </w:rPr>
            </w:pPr>
            <w:r w:rsidRPr="008E5B7F">
              <w:rPr>
                <w:rFonts w:ascii="Cambria" w:hAnsi="Cambria"/>
                <w:sz w:val="22"/>
                <w:szCs w:val="22"/>
              </w:rPr>
              <w:t>94.4%</w:t>
            </w:r>
          </w:p>
        </w:tc>
      </w:tr>
    </w:tbl>
    <w:p w14:paraId="2255FBD6" w14:textId="77777777" w:rsidR="008E5B7F" w:rsidRPr="008E5B7F" w:rsidRDefault="008E5B7F" w:rsidP="007B5245">
      <w:pPr>
        <w:tabs>
          <w:tab w:val="left" w:pos="2304"/>
        </w:tabs>
        <w:spacing w:after="220"/>
        <w:jc w:val="center"/>
        <w:rPr>
          <w:rFonts w:ascii="Cambria" w:hAnsi="Cambria"/>
          <w:sz w:val="22"/>
          <w:szCs w:val="22"/>
        </w:rPr>
      </w:pPr>
      <w:r w:rsidRPr="0059273C">
        <w:rPr>
          <w:rFonts w:ascii="Cambria" w:hAnsi="Cambria"/>
          <w:b/>
          <w:bCs/>
          <w:sz w:val="22"/>
          <w:szCs w:val="22"/>
        </w:rPr>
        <w:t>Table 1</w:t>
      </w:r>
      <w:r w:rsidRPr="008E5B7F">
        <w:rPr>
          <w:rFonts w:ascii="Cambria" w:hAnsi="Cambria"/>
          <w:sz w:val="22"/>
          <w:szCs w:val="22"/>
        </w:rPr>
        <w:t>. Results of Model 3 injuries classification on test dataset</w:t>
      </w:r>
    </w:p>
    <w:p w14:paraId="2A4B9293" w14:textId="77777777" w:rsidR="000116E0" w:rsidRDefault="000116E0" w:rsidP="007B5245">
      <w:pPr>
        <w:tabs>
          <w:tab w:val="left" w:pos="2304"/>
        </w:tabs>
        <w:spacing w:after="220"/>
        <w:jc w:val="center"/>
        <w:rPr>
          <w:rFonts w:ascii="Cambria" w:hAnsi="Cambria"/>
          <w:sz w:val="22"/>
          <w:szCs w:val="22"/>
        </w:rPr>
      </w:pPr>
    </w:p>
    <w:p w14:paraId="610A825A" w14:textId="77777777" w:rsidR="00EC603D" w:rsidRDefault="00EC603D" w:rsidP="007B5245">
      <w:pPr>
        <w:tabs>
          <w:tab w:val="left" w:pos="2304"/>
        </w:tabs>
        <w:spacing w:after="220"/>
        <w:jc w:val="center"/>
        <w:rPr>
          <w:rFonts w:ascii="Cambria" w:hAnsi="Cambria"/>
          <w:sz w:val="22"/>
          <w:szCs w:val="22"/>
        </w:rPr>
      </w:pPr>
    </w:p>
    <w:p w14:paraId="42E4DC22" w14:textId="77777777" w:rsidR="00330131" w:rsidRDefault="00330131" w:rsidP="0059273C">
      <w:pPr>
        <w:tabs>
          <w:tab w:val="left" w:pos="2304"/>
        </w:tabs>
        <w:spacing w:after="220"/>
        <w:jc w:val="both"/>
        <w:rPr>
          <w:rFonts w:ascii="Cambria" w:hAnsi="Cambria"/>
          <w:sz w:val="22"/>
          <w:szCs w:val="22"/>
        </w:rPr>
      </w:pPr>
    </w:p>
    <w:p w14:paraId="1132981E" w14:textId="71FAF062" w:rsidR="008E5B7F" w:rsidRPr="008E5B7F" w:rsidRDefault="008E5B7F" w:rsidP="0059273C">
      <w:pPr>
        <w:tabs>
          <w:tab w:val="left" w:pos="2304"/>
        </w:tabs>
        <w:spacing w:after="220"/>
        <w:jc w:val="both"/>
        <w:rPr>
          <w:rFonts w:ascii="Cambria" w:hAnsi="Cambria"/>
          <w:sz w:val="22"/>
          <w:szCs w:val="22"/>
        </w:rPr>
      </w:pPr>
      <w:r w:rsidRPr="008E5B7F">
        <w:rPr>
          <w:rFonts w:ascii="Cambria" w:hAnsi="Cambria"/>
          <w:sz w:val="22"/>
          <w:szCs w:val="22"/>
        </w:rPr>
        <w:t>It is important to note the high effectiveness of Model 3. It is a model that</w:t>
      </w:r>
      <w:r w:rsidR="0059273C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classifies accurate events well. All three models allow an assessment of the degree</w:t>
      </w:r>
      <w:r w:rsidR="0059273C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of injury possibility. This is important as we are keen to signal an increase in</w:t>
      </w:r>
      <w:r w:rsidR="0059273C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 xml:space="preserve">the probability of injury in </w:t>
      </w:r>
      <w:proofErr w:type="spellStart"/>
      <w:r w:rsidRPr="008E5B7F">
        <w:rPr>
          <w:rFonts w:ascii="Cambria" w:hAnsi="Cambria"/>
          <w:sz w:val="22"/>
          <w:szCs w:val="22"/>
        </w:rPr>
        <w:t>microcycles</w:t>
      </w:r>
      <w:proofErr w:type="spellEnd"/>
      <w:r w:rsidRPr="008E5B7F">
        <w:rPr>
          <w:rFonts w:ascii="Cambria" w:hAnsi="Cambria"/>
          <w:sz w:val="22"/>
          <w:szCs w:val="22"/>
        </w:rPr>
        <w:t xml:space="preserve"> before it occurs. When analyzing the</w:t>
      </w:r>
      <w:r w:rsidR="0059273C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results, we noticed that the rule-based models and in particular Model 2 very</w:t>
      </w:r>
      <w:r w:rsidR="0059273C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 xml:space="preserve">often signal the possibility of injury one or two </w:t>
      </w:r>
      <w:proofErr w:type="spellStart"/>
      <w:r w:rsidRPr="008E5B7F">
        <w:rPr>
          <w:rFonts w:ascii="Cambria" w:hAnsi="Cambria"/>
          <w:sz w:val="22"/>
          <w:szCs w:val="22"/>
        </w:rPr>
        <w:t>microcycles</w:t>
      </w:r>
      <w:proofErr w:type="spellEnd"/>
      <w:r w:rsidRPr="008E5B7F">
        <w:rPr>
          <w:rFonts w:ascii="Cambria" w:hAnsi="Cambria"/>
          <w:sz w:val="22"/>
          <w:szCs w:val="22"/>
        </w:rPr>
        <w:t xml:space="preserve"> before the actual</w:t>
      </w:r>
      <w:r w:rsidR="0059273C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injury. Such model performance is very decent to realistically prevent overload</w:t>
      </w:r>
      <w:r w:rsidR="0059273C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injuries. We are currently working on metrics to assess the quality of models in</w:t>
      </w:r>
      <w:r w:rsidR="0059273C">
        <w:rPr>
          <w:rFonts w:ascii="Cambria" w:hAnsi="Cambria"/>
          <w:sz w:val="22"/>
          <w:szCs w:val="22"/>
        </w:rPr>
        <w:t xml:space="preserve"> </w:t>
      </w:r>
      <w:r w:rsidRPr="008E5B7F">
        <w:rPr>
          <w:rFonts w:ascii="Cambria" w:hAnsi="Cambria"/>
          <w:sz w:val="22"/>
          <w:szCs w:val="22"/>
        </w:rPr>
        <w:t>this respect.</w:t>
      </w:r>
    </w:p>
    <w:p w14:paraId="65EC873F" w14:textId="658E7D44" w:rsidR="00D81B7A" w:rsidRPr="006B49AF" w:rsidRDefault="00D81B7A" w:rsidP="00D033C9">
      <w:pPr>
        <w:tabs>
          <w:tab w:val="left" w:pos="2304"/>
        </w:tabs>
        <w:rPr>
          <w:rFonts w:ascii="Cambria" w:hAnsi="Cambria"/>
          <w:sz w:val="22"/>
          <w:szCs w:val="22"/>
        </w:rPr>
      </w:pPr>
    </w:p>
    <w:p w14:paraId="3E0D67B5" w14:textId="77777777" w:rsidR="00D81B7A" w:rsidRPr="00C30B09" w:rsidRDefault="00D81B7A">
      <w:pPr>
        <w:rPr>
          <w:rFonts w:ascii="Cambria" w:hAnsi="Cambria"/>
          <w:b/>
          <w:sz w:val="28"/>
          <w:szCs w:val="28"/>
        </w:rPr>
      </w:pPr>
      <w:r w:rsidRPr="00C30B09">
        <w:rPr>
          <w:rFonts w:ascii="Cambria" w:hAnsi="Cambria"/>
          <w:b/>
          <w:sz w:val="28"/>
          <w:szCs w:val="28"/>
        </w:rPr>
        <w:br w:type="page"/>
      </w:r>
    </w:p>
    <w:p w14:paraId="23507335" w14:textId="77777777" w:rsidR="00D81B7A" w:rsidRPr="00C30B09" w:rsidRDefault="00D81B7A" w:rsidP="00790254">
      <w:pPr>
        <w:tabs>
          <w:tab w:val="left" w:pos="2304"/>
        </w:tabs>
        <w:jc w:val="both"/>
        <w:rPr>
          <w:rFonts w:ascii="Cambria" w:hAnsi="Cambria"/>
          <w:b/>
          <w:sz w:val="32"/>
          <w:szCs w:val="32"/>
        </w:rPr>
      </w:pPr>
      <w:r w:rsidRPr="00C30B09">
        <w:rPr>
          <w:rFonts w:ascii="Cambria" w:hAnsi="Cambria"/>
          <w:b/>
          <w:sz w:val="32"/>
          <w:szCs w:val="32"/>
        </w:rPr>
        <w:lastRenderedPageBreak/>
        <w:t>References</w:t>
      </w:r>
    </w:p>
    <w:p w14:paraId="606073AC" w14:textId="77777777" w:rsidR="00D81B7A" w:rsidRPr="006B49AF" w:rsidRDefault="00D81B7A" w:rsidP="00790254">
      <w:p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</w:p>
    <w:p w14:paraId="28AC0C91" w14:textId="224CF42E" w:rsidR="006A2BE1" w:rsidRPr="00045BCC" w:rsidRDefault="006A2BE1" w:rsidP="00045BCC">
      <w:pPr>
        <w:pStyle w:val="Akapitzlist"/>
        <w:numPr>
          <w:ilvl w:val="0"/>
          <w:numId w:val="7"/>
        </w:num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  <w:r w:rsidRPr="00045BCC">
        <w:rPr>
          <w:rFonts w:ascii="Cambria" w:hAnsi="Cambria"/>
          <w:sz w:val="22"/>
          <w:szCs w:val="22"/>
        </w:rPr>
        <w:t xml:space="preserve">Bourdon, P.C., Cardinale, M., Murray, A., </w:t>
      </w:r>
      <w:proofErr w:type="spellStart"/>
      <w:r w:rsidRPr="00045BCC">
        <w:rPr>
          <w:rFonts w:ascii="Cambria" w:hAnsi="Cambria"/>
          <w:sz w:val="22"/>
          <w:szCs w:val="22"/>
        </w:rPr>
        <w:t>Gastin</w:t>
      </w:r>
      <w:proofErr w:type="spellEnd"/>
      <w:r w:rsidRPr="00045BCC">
        <w:rPr>
          <w:rFonts w:ascii="Cambria" w:hAnsi="Cambria"/>
          <w:sz w:val="22"/>
          <w:szCs w:val="22"/>
        </w:rPr>
        <w:t xml:space="preserve">, P., </w:t>
      </w:r>
      <w:proofErr w:type="spellStart"/>
      <w:r w:rsidRPr="00045BCC">
        <w:rPr>
          <w:rFonts w:ascii="Cambria" w:hAnsi="Cambria"/>
          <w:sz w:val="22"/>
          <w:szCs w:val="22"/>
        </w:rPr>
        <w:t>Kellmann</w:t>
      </w:r>
      <w:proofErr w:type="spellEnd"/>
      <w:r w:rsidRPr="00045BCC">
        <w:rPr>
          <w:rFonts w:ascii="Cambria" w:hAnsi="Cambria"/>
          <w:sz w:val="22"/>
          <w:szCs w:val="22"/>
        </w:rPr>
        <w:t>, M., Varley, M.C.,</w:t>
      </w:r>
      <w:r w:rsidR="002D4244" w:rsidRPr="00045BCC">
        <w:rPr>
          <w:rFonts w:ascii="Cambria" w:hAnsi="Cambria"/>
          <w:sz w:val="22"/>
          <w:szCs w:val="22"/>
        </w:rPr>
        <w:t xml:space="preserve"> </w:t>
      </w:r>
      <w:proofErr w:type="spellStart"/>
      <w:r w:rsidRPr="00045BCC">
        <w:rPr>
          <w:rFonts w:ascii="Cambria" w:hAnsi="Cambria"/>
          <w:sz w:val="22"/>
          <w:szCs w:val="22"/>
        </w:rPr>
        <w:t>Gabbett</w:t>
      </w:r>
      <w:proofErr w:type="spellEnd"/>
      <w:r w:rsidRPr="00045BCC">
        <w:rPr>
          <w:rFonts w:ascii="Cambria" w:hAnsi="Cambria"/>
          <w:sz w:val="22"/>
          <w:szCs w:val="22"/>
        </w:rPr>
        <w:t>, T.J., Coutts, A.J., Burgess, D.J., Gregson, W., Cable, N.T.: Monitoring</w:t>
      </w:r>
      <w:r w:rsidR="002D4244" w:rsidRPr="00045BCC">
        <w:rPr>
          <w:rFonts w:ascii="Cambria" w:hAnsi="Cambria"/>
          <w:sz w:val="22"/>
          <w:szCs w:val="22"/>
        </w:rPr>
        <w:t xml:space="preserve"> </w:t>
      </w:r>
      <w:r w:rsidRPr="00045BCC">
        <w:rPr>
          <w:rFonts w:ascii="Cambria" w:hAnsi="Cambria"/>
          <w:sz w:val="22"/>
          <w:szCs w:val="22"/>
        </w:rPr>
        <w:t>athlete training loads: Consensus statement. International Journal of Sports Physiology and Performance 12(s2), 161–170 (2017)</w:t>
      </w:r>
    </w:p>
    <w:p w14:paraId="7FF3111F" w14:textId="42893765" w:rsidR="006A2BE1" w:rsidRPr="00045BCC" w:rsidRDefault="006A2BE1" w:rsidP="00045BCC">
      <w:pPr>
        <w:pStyle w:val="Akapitzlist"/>
        <w:numPr>
          <w:ilvl w:val="0"/>
          <w:numId w:val="7"/>
        </w:num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  <w:r w:rsidRPr="00045BCC">
        <w:rPr>
          <w:rFonts w:ascii="Cambria" w:hAnsi="Cambria"/>
          <w:sz w:val="22"/>
          <w:szCs w:val="22"/>
        </w:rPr>
        <w:t>Catapult: Provider of wearable technology for the management of athletes.</w:t>
      </w:r>
      <w:r w:rsidR="002D4244" w:rsidRPr="00045BCC">
        <w:rPr>
          <w:rFonts w:ascii="Cambria" w:hAnsi="Cambria"/>
          <w:sz w:val="22"/>
          <w:szCs w:val="22"/>
        </w:rPr>
        <w:t xml:space="preserve"> </w:t>
      </w:r>
      <w:hyperlink r:id="rId8" w:history="1">
        <w:r w:rsidR="00045BCC" w:rsidRPr="00045BCC">
          <w:rPr>
            <w:rStyle w:val="Hipercze"/>
            <w:rFonts w:ascii="Cambria" w:hAnsi="Cambria"/>
            <w:sz w:val="22"/>
            <w:szCs w:val="22"/>
          </w:rPr>
          <w:t>https://www.catapultsports.com/</w:t>
        </w:r>
      </w:hyperlink>
      <w:r w:rsidR="00045BCC" w:rsidRPr="00045BCC">
        <w:rPr>
          <w:rFonts w:ascii="Cambria" w:hAnsi="Cambria"/>
          <w:sz w:val="22"/>
          <w:szCs w:val="22"/>
        </w:rPr>
        <w:t xml:space="preserve"> </w:t>
      </w:r>
    </w:p>
    <w:p w14:paraId="28ACE27F" w14:textId="0BDFCFA3" w:rsidR="006A2BE1" w:rsidRPr="00045BCC" w:rsidRDefault="006A2BE1" w:rsidP="00045BCC">
      <w:pPr>
        <w:pStyle w:val="Akapitzlist"/>
        <w:numPr>
          <w:ilvl w:val="0"/>
          <w:numId w:val="7"/>
        </w:num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  <w:proofErr w:type="spellStart"/>
      <w:r w:rsidRPr="00045BCC">
        <w:rPr>
          <w:rFonts w:ascii="Cambria" w:hAnsi="Cambria"/>
          <w:sz w:val="22"/>
          <w:szCs w:val="22"/>
        </w:rPr>
        <w:t>Gabbett</w:t>
      </w:r>
      <w:proofErr w:type="spellEnd"/>
      <w:r w:rsidRPr="00045BCC">
        <w:rPr>
          <w:rFonts w:ascii="Cambria" w:hAnsi="Cambria"/>
          <w:sz w:val="22"/>
          <w:szCs w:val="22"/>
        </w:rPr>
        <w:t>, T.J.: The training—injury prevention paradox: should athletes be training</w:t>
      </w:r>
      <w:r w:rsidR="002D4244" w:rsidRPr="00045BCC">
        <w:rPr>
          <w:rFonts w:ascii="Cambria" w:hAnsi="Cambria"/>
          <w:sz w:val="22"/>
          <w:szCs w:val="22"/>
        </w:rPr>
        <w:t xml:space="preserve"> </w:t>
      </w:r>
      <w:r w:rsidRPr="00045BCC">
        <w:rPr>
          <w:rFonts w:ascii="Cambria" w:hAnsi="Cambria"/>
          <w:sz w:val="22"/>
          <w:szCs w:val="22"/>
        </w:rPr>
        <w:t>smarter and harder? British Journal of Sports Medicine 50(5), 273–280 (2016)</w:t>
      </w:r>
    </w:p>
    <w:p w14:paraId="61BF0A1B" w14:textId="27600C41" w:rsidR="00CB0068" w:rsidRPr="00045BCC" w:rsidRDefault="006A2BE1" w:rsidP="00045BCC">
      <w:pPr>
        <w:pStyle w:val="Akapitzlist"/>
        <w:numPr>
          <w:ilvl w:val="0"/>
          <w:numId w:val="7"/>
        </w:num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  <w:r w:rsidRPr="00045BCC">
        <w:rPr>
          <w:rFonts w:ascii="Cambria" w:hAnsi="Cambria"/>
          <w:sz w:val="22"/>
          <w:szCs w:val="22"/>
        </w:rPr>
        <w:t xml:space="preserve">Rossi, A., </w:t>
      </w:r>
      <w:proofErr w:type="spellStart"/>
      <w:r w:rsidRPr="00045BCC">
        <w:rPr>
          <w:rFonts w:ascii="Cambria" w:hAnsi="Cambria"/>
          <w:sz w:val="22"/>
          <w:szCs w:val="22"/>
        </w:rPr>
        <w:t>Pappalardo</w:t>
      </w:r>
      <w:proofErr w:type="spellEnd"/>
      <w:r w:rsidRPr="00045BCC">
        <w:rPr>
          <w:rFonts w:ascii="Cambria" w:hAnsi="Cambria"/>
          <w:sz w:val="22"/>
          <w:szCs w:val="22"/>
        </w:rPr>
        <w:t xml:space="preserve">, L., </w:t>
      </w:r>
      <w:proofErr w:type="spellStart"/>
      <w:r w:rsidRPr="00045BCC">
        <w:rPr>
          <w:rFonts w:ascii="Cambria" w:hAnsi="Cambria"/>
          <w:sz w:val="22"/>
          <w:szCs w:val="22"/>
        </w:rPr>
        <w:t>Cintia</w:t>
      </w:r>
      <w:proofErr w:type="spellEnd"/>
      <w:r w:rsidRPr="00045BCC">
        <w:rPr>
          <w:rFonts w:ascii="Cambria" w:hAnsi="Cambria"/>
          <w:sz w:val="22"/>
          <w:szCs w:val="22"/>
        </w:rPr>
        <w:t xml:space="preserve">, P., </w:t>
      </w:r>
      <w:proofErr w:type="spellStart"/>
      <w:r w:rsidRPr="00045BCC">
        <w:rPr>
          <w:rFonts w:ascii="Cambria" w:hAnsi="Cambria"/>
          <w:sz w:val="22"/>
          <w:szCs w:val="22"/>
        </w:rPr>
        <w:t>Iaia</w:t>
      </w:r>
      <w:proofErr w:type="spellEnd"/>
      <w:r w:rsidRPr="00045BCC">
        <w:rPr>
          <w:rFonts w:ascii="Cambria" w:hAnsi="Cambria"/>
          <w:sz w:val="22"/>
          <w:szCs w:val="22"/>
        </w:rPr>
        <w:t xml:space="preserve">, F.M., </w:t>
      </w:r>
      <w:proofErr w:type="spellStart"/>
      <w:r w:rsidRPr="00045BCC">
        <w:rPr>
          <w:rFonts w:ascii="Cambria" w:hAnsi="Cambria"/>
          <w:sz w:val="22"/>
          <w:szCs w:val="22"/>
        </w:rPr>
        <w:t>Fernàndez</w:t>
      </w:r>
      <w:proofErr w:type="spellEnd"/>
      <w:r w:rsidRPr="00045BCC">
        <w:rPr>
          <w:rFonts w:ascii="Cambria" w:hAnsi="Cambria"/>
          <w:sz w:val="22"/>
          <w:szCs w:val="22"/>
        </w:rPr>
        <w:t>, J., Medina, D.: Effective</w:t>
      </w:r>
      <w:r w:rsidR="002D4244" w:rsidRPr="00045BCC">
        <w:rPr>
          <w:rFonts w:ascii="Cambria" w:hAnsi="Cambria"/>
          <w:sz w:val="22"/>
          <w:szCs w:val="22"/>
        </w:rPr>
        <w:t xml:space="preserve"> </w:t>
      </w:r>
      <w:r w:rsidRPr="00045BCC">
        <w:rPr>
          <w:rFonts w:ascii="Cambria" w:hAnsi="Cambria"/>
          <w:sz w:val="22"/>
          <w:szCs w:val="22"/>
        </w:rPr>
        <w:t xml:space="preserve">injury forecasting in soccer with </w:t>
      </w:r>
      <w:proofErr w:type="spellStart"/>
      <w:r w:rsidRPr="00045BCC">
        <w:rPr>
          <w:rFonts w:ascii="Cambria" w:hAnsi="Cambria"/>
          <w:sz w:val="22"/>
          <w:szCs w:val="22"/>
        </w:rPr>
        <w:t>gps</w:t>
      </w:r>
      <w:proofErr w:type="spellEnd"/>
      <w:r w:rsidRPr="00045BCC">
        <w:rPr>
          <w:rFonts w:ascii="Cambria" w:hAnsi="Cambria"/>
          <w:sz w:val="22"/>
          <w:szCs w:val="22"/>
        </w:rPr>
        <w:t xml:space="preserve"> training data and machine learning. PLOS ONE</w:t>
      </w:r>
      <w:r w:rsidR="002D4244" w:rsidRPr="00045BCC">
        <w:rPr>
          <w:rFonts w:ascii="Cambria" w:hAnsi="Cambria"/>
          <w:sz w:val="22"/>
          <w:szCs w:val="22"/>
        </w:rPr>
        <w:t xml:space="preserve"> </w:t>
      </w:r>
      <w:r w:rsidRPr="00045BCC">
        <w:rPr>
          <w:rFonts w:ascii="Cambria" w:hAnsi="Cambria"/>
          <w:sz w:val="22"/>
          <w:szCs w:val="22"/>
        </w:rPr>
        <w:t>13(7), 1–15 (2018)</w:t>
      </w:r>
    </w:p>
    <w:p w14:paraId="78F3A3D1" w14:textId="348A6726" w:rsidR="00D033C9" w:rsidRPr="006B49AF" w:rsidRDefault="00D033C9" w:rsidP="00790254">
      <w:p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</w:p>
    <w:p w14:paraId="35E08C5A" w14:textId="3523AC01" w:rsidR="00D033C9" w:rsidRPr="006B49AF" w:rsidRDefault="00D033C9" w:rsidP="00790254">
      <w:p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</w:p>
    <w:p w14:paraId="02752341" w14:textId="3CA3ECE7" w:rsidR="00D033C9" w:rsidRDefault="00D033C9" w:rsidP="00790254">
      <w:p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</w:p>
    <w:p w14:paraId="1ABE61B7" w14:textId="14B775D6" w:rsidR="002D4244" w:rsidRDefault="002D4244" w:rsidP="00790254">
      <w:p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</w:p>
    <w:p w14:paraId="5D3049BD" w14:textId="77777777" w:rsidR="002D4244" w:rsidRPr="006B49AF" w:rsidRDefault="002D4244" w:rsidP="00790254">
      <w:p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</w:p>
    <w:sectPr w:rsidR="002D4244" w:rsidRPr="006B49AF" w:rsidSect="00D81B7A">
      <w:footerReference w:type="even" r:id="rId9"/>
      <w:footerReference w:type="default" r:id="rId10"/>
      <w:pgSz w:w="12240" w:h="15840"/>
      <w:pgMar w:top="158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C7611" w14:textId="77777777" w:rsidR="00845E45" w:rsidRDefault="00845E45" w:rsidP="00790254">
      <w:r>
        <w:separator/>
      </w:r>
    </w:p>
  </w:endnote>
  <w:endnote w:type="continuationSeparator" w:id="0">
    <w:p w14:paraId="1D27455A" w14:textId="77777777" w:rsidR="00845E45" w:rsidRDefault="00845E45" w:rsidP="00790254">
      <w:r>
        <w:continuationSeparator/>
      </w:r>
    </w:p>
  </w:endnote>
  <w:endnote w:type="continuationNotice" w:id="1">
    <w:p w14:paraId="35519194" w14:textId="77777777" w:rsidR="00F100BE" w:rsidRDefault="00F100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906E6" w14:textId="77777777" w:rsidR="0047269F" w:rsidRDefault="00AE7197" w:rsidP="003E71E8">
    <w:pPr>
      <w:pStyle w:val="Stopka"/>
      <w:framePr w:wrap="none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47269F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4D9A6611" w14:textId="77777777" w:rsidR="0047269F" w:rsidRDefault="0047269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35521" w14:textId="77777777" w:rsidR="0047269F" w:rsidRPr="0047269F" w:rsidRDefault="00AE7197" w:rsidP="003E71E8">
    <w:pPr>
      <w:pStyle w:val="Stopka"/>
      <w:framePr w:wrap="none" w:vAnchor="text" w:hAnchor="margin" w:xAlign="center" w:y="1"/>
      <w:rPr>
        <w:rStyle w:val="Numerstrony"/>
      </w:rPr>
    </w:pPr>
    <w:r w:rsidRPr="0047269F">
      <w:rPr>
        <w:rStyle w:val="Numerstrony"/>
        <w:rFonts w:ascii="Cambria" w:hAnsi="Cambria"/>
      </w:rPr>
      <w:fldChar w:fldCharType="begin"/>
    </w:r>
    <w:r w:rsidR="0047269F" w:rsidRPr="0047269F">
      <w:rPr>
        <w:rStyle w:val="Numerstrony"/>
        <w:rFonts w:ascii="Cambria" w:hAnsi="Cambria"/>
      </w:rPr>
      <w:instrText xml:space="preserve">PAGE  </w:instrText>
    </w:r>
    <w:r w:rsidRPr="0047269F">
      <w:rPr>
        <w:rStyle w:val="Numerstrony"/>
        <w:rFonts w:ascii="Cambria" w:hAnsi="Cambria"/>
      </w:rPr>
      <w:fldChar w:fldCharType="separate"/>
    </w:r>
    <w:r w:rsidR="0081303F">
      <w:rPr>
        <w:rStyle w:val="Numerstrony"/>
        <w:rFonts w:ascii="Cambria" w:hAnsi="Cambria"/>
        <w:noProof/>
      </w:rPr>
      <w:t>1</w:t>
    </w:r>
    <w:r w:rsidRPr="0047269F">
      <w:rPr>
        <w:rStyle w:val="Numerstrony"/>
        <w:rFonts w:ascii="Cambria" w:hAnsi="Cambria"/>
      </w:rPr>
      <w:fldChar w:fldCharType="end"/>
    </w:r>
  </w:p>
  <w:p w14:paraId="6F35BC09" w14:textId="77777777" w:rsidR="00790254" w:rsidRDefault="00790254" w:rsidP="00790254">
    <w:pPr>
      <w:pStyle w:val="Stopk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181B4D8" wp14:editId="1803C572">
          <wp:simplePos x="0" y="0"/>
          <wp:positionH relativeFrom="column">
            <wp:posOffset>-114935</wp:posOffset>
          </wp:positionH>
          <wp:positionV relativeFrom="paragraph">
            <wp:posOffset>-175895</wp:posOffset>
          </wp:positionV>
          <wp:extent cx="1837690" cy="574040"/>
          <wp:effectExtent l="0" t="0" r="0" b="10160"/>
          <wp:wrapSquare wrapText="bothSides"/>
          <wp:docPr id="3" name="Picture 3" descr="/Users/Ben/Desktop/Screen Shot 2015-10-26 at 11.38.4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Ben/Desktop/Screen Shot 2015-10-26 at 11.38.40 A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769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A9C89" w14:textId="77777777" w:rsidR="00845E45" w:rsidRDefault="00845E45" w:rsidP="00790254">
      <w:r>
        <w:separator/>
      </w:r>
    </w:p>
  </w:footnote>
  <w:footnote w:type="continuationSeparator" w:id="0">
    <w:p w14:paraId="7DFF0449" w14:textId="77777777" w:rsidR="00845E45" w:rsidRDefault="00845E45" w:rsidP="00790254">
      <w:r>
        <w:continuationSeparator/>
      </w:r>
    </w:p>
  </w:footnote>
  <w:footnote w:type="continuationNotice" w:id="1">
    <w:p w14:paraId="2D0DFCF5" w14:textId="77777777" w:rsidR="00F100BE" w:rsidRDefault="00F100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4587C"/>
    <w:multiLevelType w:val="hybridMultilevel"/>
    <w:tmpl w:val="526AF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46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5424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4648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195E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AC5E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F21927"/>
    <w:multiLevelType w:val="hybridMultilevel"/>
    <w:tmpl w:val="64B01C36"/>
    <w:lvl w:ilvl="0" w:tplc="8586FCC8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34131">
    <w:abstractNumId w:val="3"/>
  </w:num>
  <w:num w:numId="2" w16cid:durableId="910624969">
    <w:abstractNumId w:val="0"/>
  </w:num>
  <w:num w:numId="3" w16cid:durableId="552349144">
    <w:abstractNumId w:val="4"/>
  </w:num>
  <w:num w:numId="4" w16cid:durableId="1711030843">
    <w:abstractNumId w:val="2"/>
  </w:num>
  <w:num w:numId="5" w16cid:durableId="1743527317">
    <w:abstractNumId w:val="5"/>
  </w:num>
  <w:num w:numId="6" w16cid:durableId="25184355">
    <w:abstractNumId w:val="1"/>
  </w:num>
  <w:num w:numId="7" w16cid:durableId="6407657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54"/>
    <w:rsid w:val="00002F10"/>
    <w:rsid w:val="0000732E"/>
    <w:rsid w:val="000116E0"/>
    <w:rsid w:val="0001400C"/>
    <w:rsid w:val="00045BCC"/>
    <w:rsid w:val="000A2E8C"/>
    <w:rsid w:val="001100DC"/>
    <w:rsid w:val="001120D0"/>
    <w:rsid w:val="00180AD3"/>
    <w:rsid w:val="001E405C"/>
    <w:rsid w:val="00266216"/>
    <w:rsid w:val="002963A4"/>
    <w:rsid w:val="002D4244"/>
    <w:rsid w:val="002F0259"/>
    <w:rsid w:val="003115DF"/>
    <w:rsid w:val="00330131"/>
    <w:rsid w:val="003578AD"/>
    <w:rsid w:val="00375DFC"/>
    <w:rsid w:val="003A68D6"/>
    <w:rsid w:val="00471AAF"/>
    <w:rsid w:val="0047269F"/>
    <w:rsid w:val="004E067F"/>
    <w:rsid w:val="004E1066"/>
    <w:rsid w:val="00587201"/>
    <w:rsid w:val="0059273C"/>
    <w:rsid w:val="005A6710"/>
    <w:rsid w:val="005E1792"/>
    <w:rsid w:val="005F33EF"/>
    <w:rsid w:val="006263BE"/>
    <w:rsid w:val="006A2BE1"/>
    <w:rsid w:val="006B49AF"/>
    <w:rsid w:val="006D0E62"/>
    <w:rsid w:val="006D7F1F"/>
    <w:rsid w:val="006F2B39"/>
    <w:rsid w:val="00716000"/>
    <w:rsid w:val="007237EB"/>
    <w:rsid w:val="00790254"/>
    <w:rsid w:val="007B5245"/>
    <w:rsid w:val="007D4180"/>
    <w:rsid w:val="007D4C9E"/>
    <w:rsid w:val="0081303F"/>
    <w:rsid w:val="008406DA"/>
    <w:rsid w:val="00845E45"/>
    <w:rsid w:val="008B54B3"/>
    <w:rsid w:val="008E5B7F"/>
    <w:rsid w:val="0092008B"/>
    <w:rsid w:val="0098755D"/>
    <w:rsid w:val="009B1223"/>
    <w:rsid w:val="009C7855"/>
    <w:rsid w:val="00A16AEF"/>
    <w:rsid w:val="00A373BF"/>
    <w:rsid w:val="00A76AD9"/>
    <w:rsid w:val="00AE7197"/>
    <w:rsid w:val="00B202DB"/>
    <w:rsid w:val="00B83047"/>
    <w:rsid w:val="00C30B09"/>
    <w:rsid w:val="00CB0068"/>
    <w:rsid w:val="00CF1BA1"/>
    <w:rsid w:val="00D033C9"/>
    <w:rsid w:val="00D15E54"/>
    <w:rsid w:val="00D36BFE"/>
    <w:rsid w:val="00D5557F"/>
    <w:rsid w:val="00D81B7A"/>
    <w:rsid w:val="00DB439D"/>
    <w:rsid w:val="00DE484B"/>
    <w:rsid w:val="00DF6BC6"/>
    <w:rsid w:val="00E42590"/>
    <w:rsid w:val="00E56D16"/>
    <w:rsid w:val="00E77F95"/>
    <w:rsid w:val="00E80F18"/>
    <w:rsid w:val="00E81820"/>
    <w:rsid w:val="00E93F31"/>
    <w:rsid w:val="00EA35A6"/>
    <w:rsid w:val="00EC603D"/>
    <w:rsid w:val="00EF6FB7"/>
    <w:rsid w:val="00F100BE"/>
    <w:rsid w:val="00F47E87"/>
    <w:rsid w:val="00F66121"/>
    <w:rsid w:val="00FA0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891C5"/>
  <w15:docId w15:val="{A30518F4-A4F0-4157-8051-AAAEBD9E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661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90254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90254"/>
  </w:style>
  <w:style w:type="paragraph" w:styleId="Stopka">
    <w:name w:val="footer"/>
    <w:basedOn w:val="Normalny"/>
    <w:link w:val="StopkaZnak"/>
    <w:uiPriority w:val="99"/>
    <w:unhideWhenUsed/>
    <w:rsid w:val="00790254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90254"/>
  </w:style>
  <w:style w:type="paragraph" w:styleId="Akapitzlist">
    <w:name w:val="List Paragraph"/>
    <w:basedOn w:val="Normalny"/>
    <w:uiPriority w:val="34"/>
    <w:qFormat/>
    <w:rsid w:val="00D81B7A"/>
    <w:pPr>
      <w:ind w:left="720"/>
      <w:contextualSpacing/>
    </w:pPr>
  </w:style>
  <w:style w:type="table" w:styleId="Tabela-Siatka">
    <w:name w:val="Table Grid"/>
    <w:basedOn w:val="Standardowy"/>
    <w:uiPriority w:val="39"/>
    <w:rsid w:val="00CB00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B0068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47269F"/>
    <w:rPr>
      <w:color w:val="0563C1" w:themeColor="hyperlink"/>
      <w:u w:val="single"/>
    </w:rPr>
  </w:style>
  <w:style w:type="character" w:styleId="Numerstrony">
    <w:name w:val="page number"/>
    <w:basedOn w:val="Domylnaczcionkaakapitu"/>
    <w:uiPriority w:val="99"/>
    <w:semiHidden/>
    <w:unhideWhenUsed/>
    <w:rsid w:val="0047269F"/>
  </w:style>
  <w:style w:type="paragraph" w:styleId="Tekstprzypisudolnego">
    <w:name w:val="footnote text"/>
    <w:basedOn w:val="Normalny"/>
    <w:link w:val="TekstprzypisudolnegoZnak"/>
    <w:uiPriority w:val="99"/>
    <w:unhideWhenUsed/>
    <w:rsid w:val="00D033C9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D033C9"/>
  </w:style>
  <w:style w:type="character" w:styleId="Odwoanieprzypisudolnego">
    <w:name w:val="footnote reference"/>
    <w:basedOn w:val="Domylnaczcionkaakapitu"/>
    <w:uiPriority w:val="99"/>
    <w:unhideWhenUsed/>
    <w:rsid w:val="00D033C9"/>
    <w:rPr>
      <w:vertAlign w:val="superscript"/>
    </w:rPr>
  </w:style>
  <w:style w:type="character" w:styleId="UyteHipercze">
    <w:name w:val="FollowedHyperlink"/>
    <w:basedOn w:val="Domylnaczcionkaakapitu"/>
    <w:uiPriority w:val="99"/>
    <w:semiHidden/>
    <w:unhideWhenUsed/>
    <w:rsid w:val="00D033C9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45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tapultsport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7D04F5-7300-490D-B7AF-EBF8F381F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683</Words>
  <Characters>4099</Characters>
  <Application>Microsoft Office Word</Application>
  <DocSecurity>0</DocSecurity>
  <Lines>34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4773</CharactersWithSpaces>
  <SharedDoc>false</SharedDoc>
  <HLinks>
    <vt:vector size="6" baseType="variant">
      <vt:variant>
        <vt:i4>3539042</vt:i4>
      </vt:variant>
      <vt:variant>
        <vt:i4>0</vt:i4>
      </vt:variant>
      <vt:variant>
        <vt:i4>0</vt:i4>
      </vt:variant>
      <vt:variant>
        <vt:i4>5</vt:i4>
      </vt:variant>
      <vt:variant>
        <vt:lpwstr>https://www.catapultsports.com/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Bohr</dc:creator>
  <cp:keywords/>
  <dc:description/>
  <cp:lastModifiedBy>Tomasz Piłka</cp:lastModifiedBy>
  <cp:revision>2</cp:revision>
  <dcterms:created xsi:type="dcterms:W3CDTF">2022-09-25T17:52:00Z</dcterms:created>
  <dcterms:modified xsi:type="dcterms:W3CDTF">2022-09-25T17:52:00Z</dcterms:modified>
</cp:coreProperties>
</file>