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STEADY — AUTONOMOUS SAFETY SYSTEM</w:t>
      </w:r>
    </w:p>
    <w:p>
      <w:pPr>
        <w:pBdr>
          <w:bottom w:val="single" w:color="1F3A5F" w:sz="12"/>
        </w:pBdr>
        <w:spacing w:after="160"/>
      </w:pPr>
      <w:r>
        <w:rPr>
          <w:rFonts w:ascii="Calibri" w:cs="Calibri" w:eastAsia="Calibri" w:hAnsi="Calibri"/>
          <w:b/>
          <w:bCs/>
          <w:color w:val="1F2933"/>
          <w:sz w:val="34"/>
          <w:szCs w:val="34"/>
        </w:rPr>
        <w:t xml:space="preserve">Independent Licensed-Clinician Sign-Off Form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Configuration under review: </w:t>
      </w: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beta-clinrev-2026-07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Date of review: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__________________        </w:t>
      </w: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Review session / ref: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__________________</w:t>
      </w:r>
    </w:p>
    <w:tbl>
      <w:tblPr>
        <w:tblW w:type="dxa" w:w="9360"/>
        <w:tblBorders>
          <w:top w:val="single" w:color="1F3A5F" w:sz="8"/>
          <w:left w:val="single" w:color="1F3A5F" w:sz="8"/>
          <w:bottom w:val="single" w:color="1F3A5F" w:sz="8"/>
          <w:right w:val="single" w:color="1F3A5F" w:sz="8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4F7F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8"/>
                <w:szCs w:val="18"/>
              </w:rPr>
              <w:t xml:space="preserve">Revision under review. 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This configuration (beta-clinrev-2026-07) supersedes beta-provisional-2026-07 and applies a clinical-review change set. Bumping the config version has reset all prior per-rule sign-offs — every item below is unratified and needs your verdict.</w:t>
            </w:r>
          </w:p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7"/>
                <w:szCs w:val="17"/>
              </w:rPr>
              <w:t xml:space="preserve">Key applied changes (detail in Parts 2–3):</w:t>
            </w:r>
          </w:p>
          <w:p>
            <w:pPr>
              <w:spacing w:after="10" w:before="0" w:line="264"/>
            </w:pPr>
            <w:r>
              <w:rPr>
                <w:rFonts w:ascii="Calibri" w:cs="Calibri" w:eastAsia="Calibri" w:hAnsi="Calibri"/>
                <w:color w:val="1F2933"/>
                <w:sz w:val="17"/>
                <w:szCs w:val="17"/>
              </w:rPr>
              <w:t xml:space="preserve">•  No autonomous bilateral stimulation / trauma-memory reprocessing in beta (self-tapping = grounding only).</w:t>
            </w:r>
          </w:p>
          <w:p>
            <w:pPr>
              <w:spacing w:after="10" w:before="0" w:line="264"/>
            </w:pPr>
            <w:r>
              <w:rPr>
                <w:rFonts w:ascii="Calibri" w:cs="Calibri" w:eastAsia="Calibri" w:hAnsi="Calibri"/>
                <w:color w:val="1F2933"/>
                <w:sz w:val="17"/>
                <w:szCs w:val="17"/>
              </w:rPr>
              <w:t xml:space="preserve">•  Diagnosis / hospitalization / substance HISTORY → restricted pending human review (not a standing/permanent exclusion).</w:t>
            </w:r>
          </w:p>
          <w:p>
            <w:pPr>
              <w:spacing w:after="10" w:before="0" w:line="264"/>
            </w:pPr>
            <w:r>
              <w:rPr>
                <w:rFonts w:ascii="Calibri" w:cs="Calibri" w:eastAsia="Calibri" w:hAnsi="Calibri"/>
                <w:color w:val="1F2933"/>
                <w:sz w:val="17"/>
                <w:szCs w:val="17"/>
              </w:rPr>
              <w:t xml:space="preserve">•  Numeric daily/worsening scores → review triggers + fresh check-in, not automatic lockouts; present-state crisis inputs keep their floor.</w:t>
            </w:r>
          </w:p>
          <w:p>
            <w:pPr>
              <w:spacing w:after="10" w:before="0" w:line="264"/>
            </w:pPr>
            <w:r>
              <w:rPr>
                <w:rFonts w:ascii="Calibri" w:cs="Calibri" w:eastAsia="Calibri" w:hAnsi="Calibri"/>
                <w:color w:val="1F2933"/>
                <w:sz w:val="17"/>
                <w:szCs w:val="17"/>
              </w:rPr>
              <w:t xml:space="preserve">•  PHQ-9 item 9 → present-risk clarification (no standalone fixed 72 h lockout); PCL-5 item 16 de-scoped as a suicide proxy.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7"/>
                <w:szCs w:val="17"/>
              </w:rPr>
              <w:t xml:space="preserve">•  DES-II omitted until licensed + validated; crisis routing → jurisdiction-aware + truthful notification; “readiness” → Educational Access State; finalized program-fit wording.</w:t>
            </w:r>
          </w:p>
        </w:tc>
      </w:tr>
    </w:tbl>
    <w:p>
      <w:pPr>
        <w:spacing w:after="80" w:before="0" w:line="264"/>
      </w:pPr>
      <w:r>
        <w:rPr>
          <w:rFonts w:ascii="Calibri" w:cs="Calibri" w:eastAsia="Calibri" w:hAnsi="Calibri"/>
          <w:color w:val="1F2933"/>
          <w:sz w:val="10"/>
          <w:szCs w:val="10"/>
        </w:rPr>
        <w:t xml:space="preserve"> 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Purpose.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Steady's safety decisions are made by a deterministic rule engine currently running in </w:t>
      </w: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shadow mode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 (it computes and logs, but governs nothing a member sees). Before it may govern any real member, the clinician-authored corpus requires review and sign-off by at least two independent licensed trauma clinicians. This form is the paper record of that review. Every value below is </w:t>
      </w:r>
      <w:r>
        <w:rPr>
          <w:rFonts w:ascii="Calibri" w:cs="Calibri" w:eastAsia="Calibri" w:hAnsi="Calibri"/>
          <w:i/>
          <w:iCs/>
          <w:color w:val="1F2933"/>
          <w:sz w:val="20"/>
          <w:szCs w:val="20"/>
        </w:rPr>
        <w:t xml:space="preserve">provisional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 until ratified here.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How to use.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Complete all five parts. Part 1 captures reviewer identity and credentials. Part 2 resolves the numeric conflicts the specification left open — these feed a configuration change, after which the config version increments and Part 3 is ratified against the new values. Part 3 is the rule-by-rule ratification that mirrors the in-app Autonomous Review console (“Agree / Needs-change” per rule) — you may complete it in the app instead, but this sheet gives the same coverage on paper and maps 1:1 to the console's CSV export. Part 4 is the out-of-app evidence package. Part 5 is the attestation and signatures.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Legend:  </w:t>
      </w:r>
      <w:r>
        <w:rPr>
          <w:rFonts w:ascii="Calibri" w:cs="Calibri" w:eastAsia="Calibri" w:hAnsi="Calibri"/>
          <w:color w:val="5B6b7a"/>
          <w:sz w:val="18"/>
          <w:szCs w:val="18"/>
        </w:rPr>
        <w:t xml:space="preserve">🔴 blocks real-member use    🟡 resolve before pilot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Part 1 — Reviewer identity &amp; credentials</w:t>
      </w:r>
    </w:p>
    <w:p>
      <w:pPr>
        <w:spacing w:after="80" w:before="0" w:line="264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corpus (Vol I App. C) requires named, credentialed, signed reviewers; at least two independent licensed trauma clinicians must sign. Add pages for further reviewers.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Reviewer 1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Full name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Rebecca Altschuler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Professional title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Licensed Psychologist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License type &amp; number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Psychologist — PSY-005804 (Active, exp. 02/29/2028; no board actions)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Jurisdiction / state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Arizona (Phoenix)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EMDR training / certification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Trauma-clinical experience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Independence attestation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Calibri" w:cs="Calibri" w:eastAsia="Calibri" w:hAnsi="Calibri"/>
          <w:color w:val="1F2933"/>
          <w:sz w:val="8"/>
          <w:szCs w:val="8"/>
        </w:rPr>
        <w:t xml:space="preserve"> 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Reviewer 2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Full name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John Allen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Professional title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Licensed Psychologist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License type &amp; number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Psychologist — PSY-002055 (Active, exp. 08/31/2027; no board actions)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Jurisdiction / state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Arizona (Tucson)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EMDR training / certification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Trauma-clinical experience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26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8"/>
                <w:szCs w:val="18"/>
              </w:rPr>
              <w:t xml:space="preserve">Independence attestation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Part 2 — Numeric conflict resolution (ledger Section A)</w:t>
      </w:r>
    </w:p>
    <w:p>
      <w:pPr>
        <w:spacing w:after="80" w:before="0" w:line="264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Each conflict the specification left open now has a clinical-review decision applied in code (the “Applied” column). Confirm each decision or mark Revise and state the change; the four 🔴 items block real-member use until you confirm them. A7 (BLS) is explicitly not ratified — no autonomous BLS in beta — and A8 is the finalized program-fit wording for your approval.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640"/>
        <w:gridCol w:w="2100"/>
        <w:gridCol w:w="3160"/>
        <w:gridCol w:w="3460"/>
      </w:tblGrid>
      <w:tr>
        <w:trPr>
          <w:tblHeader/>
        </w:trPr>
        <w:tc>
          <w:tcPr>
            <w:tcW w:type="dxa" w:w="6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1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31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Applied clinical-review decision (now in code)</w:t>
            </w:r>
          </w:p>
        </w:tc>
        <w:tc>
          <w:tcPr>
            <w:tcW w:type="dxa" w:w="34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Confirm / revise</w:t>
            </w:r>
          </w:p>
        </w:tc>
      </w:tr>
      <w:tr>
        <w:tc>
          <w:tcPr>
            <w:tcW w:type="dxa" w:w="640"/>
            <w:shd w:fill="FBE9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Readiness formula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Was: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Weighted 0–100 (main body) vs multiplier-based (Appendix A)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5"/>
                <w:szCs w:val="15"/>
              </w:rPr>
              <w:t xml:space="preserve">Applied: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Renamed to “Educational Access State”. No composite score represented as clinical readiness; explicit domain gates (current safety, orientation, pause/stop capacity). Score may only rank permitted educational options — never authorizes trauma processing.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☐ Confirm  ☐ Revise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40"/>
            <w:shd w:fill="FBE9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In-session SUDS rule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Was: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Delta-based (+1 / +2) vs absolute (≥8 / ≥9 + rise-of-3)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5"/>
                <w:szCs w:val="15"/>
              </w:rPr>
              <w:t xml:space="preserve">Applied: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Conservative union retained as automatic STOP/closure FAIL-SAFES only (not a substitute for assessment). User-initiated stop any time; loss of orientation overrides SUDS; no further stimulation after a stop in the same session.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☐ Confirm  ☐ Revise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Session duration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Was: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30 / 40 min vs 35 / 45 min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5"/>
                <w:szCs w:val="15"/>
              </w:rPr>
              <w:t xml:space="preserve">Applied: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Autonomous reprocessing/BLS DISABLED in beta. 30/40 min retained only as upper operational bounds; set-specific + cumulative exposure limits defined separately only for a future validated protocol.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☐ Confirm  ☐ Revise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A4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Containment-ending cooldown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Was: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48 h vs 24 h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5"/>
                <w:szCs w:val="15"/>
              </w:rPr>
              <w:t xml:space="preserve">Applied: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Fixed 48 h not asserted as authoritative. Minimum conservative rest + fresh check-in + human review after containment-ending events; exact interval pending evidence/pilot.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☐ Confirm  ☐ Revise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A5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Max stimulation sets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Was: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3 vs 2–3 vs 2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5"/>
                <w:szCs w:val="15"/>
              </w:rPr>
              <w:t xml:space="preserve">Applied: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No autonomous processing sets in beta. Self-tapping remains only as an optional grounding/orienting skill (not memory processing). “2” kept as a future upper bound only.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☐ Confirm  ☐ Revise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A6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Hospitalization exclusion window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Was: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0–90 d / 91–365 review vs 12-mo standing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5"/>
                <w:szCs w:val="15"/>
              </w:rPr>
              <w:t xml:space="preserve">Applied: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Blanket 12-month exclusion REMOVED. Recent hospitalization → restricted access pending HUMAN REVIEW (current stability, discharge plan, safety, support), not a universal calendar rule.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☐ Confirm  ☐ Revise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40"/>
            <w:shd w:fill="FBE9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A7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BLS speed &amp; closure minimum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Was: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1.25 Hz / 120 s; advisor: “nothing ships without this row”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5"/>
                <w:szCs w:val="15"/>
              </w:rPr>
              <w:t xml:space="preserve">Applied: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NO autonomous BLS in beta; visual BLS disabled. Speed alone cannot establish safety — set duration, modality, visual safety, consent, stop access, orientation checks, and purpose remain unresolved. Not ratified.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☐ Confirm  ☐ Revise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40"/>
            <w:shd w:fill="FBE9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A8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Program-fit item wording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Was: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fit-v1-placeholder — not final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5"/>
                <w:szCs w:val="15"/>
              </w:rPr>
              <w:t xml:space="preserve">Applied: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Finalized wording applied (fit-v2-clinrev): “Steady provides education, preparation, and grounding-oriented skills. It does not diagnose, determine readiness for trauma processing, or replace a licensed clinician…” Responses: Yes / I am not sure / No, I need urgent or clinical help.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☐ Confirm  ☐ Revise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A9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DES-II inclusion &amp; licensing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Was: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Not selected; licensing unverified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5"/>
                <w:szCs w:val="15"/>
              </w:rPr>
              <w:t xml:space="preserve">Applied: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DES-II NOT surfaced/scored in beta (des2SurfaceEnabled = false) until lawful licensing, scoring fidelity, interpretation limits, and clinician workflow are confirmed. If adopted → caution/referral only.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☐ Confirm  ☐ Revise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40"/>
            <w:shd w:fill="FFF8E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A10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State vs trait split</w:t>
            </w:r>
          </w:p>
        </w:tc>
        <w:tc>
          <w:tcPr>
            <w:tcW w:type="dxa" w:w="31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5B6b7a"/>
                <w:sz w:val="15"/>
                <w:szCs w:val="15"/>
              </w:rPr>
              <w:t xml:space="preserve">Was: </w:t>
            </w:r>
          </w:p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Advisor R18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15"/>
                <w:szCs w:val="15"/>
              </w:rPr>
              <w:t xml:space="preserve">Applied: </w:t>
            </w: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Current-state reports stored separately from trait/history; history is source-labeled and does not by itself impose a permanent restriction; user correction + clinician review supported. (Full state/trait datastore split is a tracked follow-up.)</w:t>
            </w:r>
          </w:p>
        </w:tc>
        <w:tc>
          <w:tcPr>
            <w:tcW w:type="dxa" w:w="346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☐ Confirm  ☐ Revise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4"/>
                <w:szCs w:val="14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Part 3 — Deterministic rule ratification (ledger Sections B–D)</w:t>
      </w:r>
    </w:p>
    <w:p>
      <w:pPr>
        <w:spacing w:after="80" w:before="0" w:line="264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Confirm each immutable rule's threshold/behavior is clinically correct. Mark Agree or Needs-change for every rule; when you mark Needs-change, state the specific required change inline in the last column (add a page if you need more room). Rule IDs match the console register and CSV export at the config version above.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3.1  Access &amp; gating rules (program-fit, daily routing, instruments, readiness)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1560"/>
        <w:gridCol w:w="3560"/>
        <w:gridCol w:w="1440"/>
        <w:gridCol w:w="280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 ID</w:t>
            </w:r>
          </w:p>
        </w:tc>
        <w:tc>
          <w:tcPr>
            <w:tcW w:type="dxa" w:w="3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Threshold / behavior to ratify</w:t>
            </w:r>
          </w:p>
        </w:tc>
        <w:tc>
          <w:tcPr>
            <w:tcW w:type="dxa" w:w="14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If Needs-change: state the required change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FIT_UNDER_18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Under 18 → not eligible (adults 18+ only). [unchanged]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FIT_SELFHARM_30D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self-harm HISTORY (30 d) alone → grounding + present-safety clarification + referral (no automatic crisis/refund). Urgent routing only on current intent.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FIT_UNSAFE_SITUATION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current-unsafe → crisis floor + present-safety clarification branched by type, with jurisdiction-aware resources (not one generic script).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FIT_PSYCHOTIC_DISSOCIATIVE_DX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diagnosis → restricted access pending HUMAN REVIEW (orientation/stability/support/intended use). No permanent autonomous ban.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FIT_HOSPITALIZATION_12M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hospitalization history → restricted pending HUMAN REVIEW (current stability, discharge plan, support). No fixed 12-mo calendar exclusion.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FIT_SUBSTANCE_DEPENDENCE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dependence history → HUMAN REVIEW (not permanent exclusion). Current intoxication/withdrawal handled by the daily rules.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FIT_SEIZURE_PHOTOSENSITIVE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Seizure / photosensitivity → visual movement disabled for the account. [unchanged]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FIT_ACUTE_MEDICAL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acute medical → grounding only + urgent MEDICAL referral for red-flags; no activating work while unresolved.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ACUTE_TRAUMA_30D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retain no-BLS + grounding; 30 d is a review trigger (current-state/clinician review gates any later activating path), not a universal boundary.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DAILY_HARM_URGE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crisis floor + graduated present-safety clarification (current intent / ability to stay safe / action taken) + jurisdiction-aware resources.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DAILY_NOT_SAFE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urgent, with a specified pathway — jurisdiction-aware resources + truthful human-notification status (never imply a human was contacted unless confirmed).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CRISIS_PHQ9_ITEM9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nonzero item 9 → stabilization + present-risk clarification + safety question + referral. NO standalone fixed 72 h lockout.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PCL5_ITEM16_CONTEXT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 (was CRISIS_PCL5_ITEM16): item 16 = risk-taking, NOT a suicide proxy. De-scoped from safety routing → context prompt / review trigger only; no lockout.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DAILY_DISSOCIATION_7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≥ 7 → grounding + present-orientation check + clarification (review trigger). Hard stops are loss of orientation / inability to follow a stop, not the number alone.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DAILY_ACTIVATION_8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≥ 8 → grounding-only default (review trigger); scale defined; member may stop at any score.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DAILY_SHUTDOWN_8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≥ 8 → low-demand orientation + clarification (review trigger); “shutdown” + anchors defined.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DAILY_INTOXICATION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Current intoxication → activating work rests, grounding open. [unchanged]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DAILY_DISSOCIATION_4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4–6 → caution → grounding + present-orientation check (review trigger).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DAILY_SLEEP_LOW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low sleep → cautious pacing + brief current-impairment check (review trigger), not a universal stabilization restriction.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DAILY_SUBSTANCE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same-day substance flag → lower intensity + clarification (review trigger); distinguishes current intoxication from historical/prescribed use.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MISSING_CHECKIN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No check-in today → grounding only until completed (missing input never favorable). [unchanged]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DES2_HIGH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INERT in beta — DES-II omitted until licensed + validated (des2SurfaceEnabled = false). If adopted → caution/referral only.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DES2_CAUTION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INERT in beta — DES-II omitted until licensed + validated.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PCL5_WEEKLY_RISE_10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≥ 10 rise → REVIEW TRIGGER + fresh check-in + referral; no automatic 14-day ceiling.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ITQ_COMBINED_RISE_8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≥ 8 rise → REVIEW TRIGGER + fresh check-in + referral; no automatic 14-day ceiling.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READY_RISK_FLAG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Any active safety flag → route to support first. [unchanged; now under Educational Access State]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READY_LESS_THAN_SAFE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current-safety domain gate → steadying range. Relabeled Educational Access State (not a readiness score).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READY_PAUSE_CAPACITY_LOW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low pause/stop capacity → practice stop/pause controls first (cautious). Not a permanent trait or clinical-readiness label.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REENTRY_PENDING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Return after a rest → fresh check-in + grounding, access opens gradually. [unchanged]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8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Additional notes for this group (optional): </w:t>
      </w: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</w:t>
      </w:r>
    </w:p>
    <w:p>
      <w:pPr>
        <w:spacing w:after="80" w:before="0" w:line="264"/>
      </w:pP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________________________________________________________________________________________________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3.2  In-session runtime &amp; bilateral-stimulation rules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1560"/>
        <w:gridCol w:w="3560"/>
        <w:gridCol w:w="1440"/>
        <w:gridCol w:w="280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 ID</w:t>
            </w:r>
          </w:p>
        </w:tc>
        <w:tc>
          <w:tcPr>
            <w:tcW w:type="dxa" w:w="3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Threshold / behavior to ratify</w:t>
            </w:r>
          </w:p>
        </w:tc>
        <w:tc>
          <w:tcPr>
            <w:tcW w:type="dxa" w:w="14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If Needs-change: state the required change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SESSION_START_SUDS_CEILING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[No autonomous BLS in beta] Future protocol only: deny stimulation if starting SUDS &gt; 5, plus orientation/consent/stop-capacity/clinician context.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SESSION_MAX_SETS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[No autonomous sets in beta] Upper bound of 2 is incomplete without per-set duration, modality, purpose, stop checks, aftercare. Self-tapping = grounding only.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SESSION_CONTAINMENT_DELTA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Fail-safe: containment if post-set SUDS rises by ≥ 2.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SESSION_CONTAINMENT_ABSOLUTE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Fail-safe: containment if post-set SUDS reaches ≥ 8.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SESSION_HARD_STOP_SUDS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Fail-safe: hard-stop containment if SUDS reaches ≥ 9.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SESSION_RISE_OVER_START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Fail-safe: containment if SUDS rises ≥ 3 over the starting value.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SESSION_TWO_RISES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Fail-safe: containment after two consecutive +1 rises.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SESSION_NO_CHANGE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Fail-safe: close if SUDS unchanged across 2 sets (“stuck is a stop signal”).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SESSION_DISSOCIATION_STOP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hard stop on a defined dissociation scale (≥ 4) OR loss of orientation OR inability to follow a stop; numeric elevation → reorient, no further sets.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SESSION_ORIENTATION_STOP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Stop + re-orient if not oriented to the present (overrides SUDS).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SESSION_WIND_DOWN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30 min is an upper operational boundary only — not evidence of safe processing.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SESSION_HARD_STOP_TIME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40 min is an absolute ceiling only; does not authorize activity inside the window.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SESSION_CLOSURE_MIN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120 s is a FLOOR, not sufficient — closure also requires orientation confirmation + member-reported stability + an escalation path if closure fails.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SESSION_GROUND_ME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Ground-Me: one-tap halt, locks stimulation for the session, no return; user stop available any time.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BLS_HZ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DISABLED in beta. If later validated, 1.0–1.5 Hz (default 1.25), no adaptive speed; speed alone cannot establish safety.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BLS_NO_VISUAL_BETA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No visual BLS in beta (auditory + self-tapping only); visual stays disabled.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BLS_FLASH_CEILING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Visual flashes never exceed 3 / sec (WCAG 2.3.2).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BLS_TIMING_FAILURE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On a timing failure: stop the set; never catch up or resume.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8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Additional notes for this group (optional): </w:t>
      </w: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</w:t>
      </w:r>
    </w:p>
    <w:p>
      <w:pPr>
        <w:spacing w:after="80" w:before="0" w:line="264"/>
      </w:pP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________________________________________________________________________________________________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3.3  Voice input &amp; live spoken-session guardrails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1560"/>
        <w:gridCol w:w="3560"/>
        <w:gridCol w:w="1440"/>
        <w:gridCol w:w="280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 ID</w:t>
            </w:r>
          </w:p>
        </w:tc>
        <w:tc>
          <w:tcPr>
            <w:tcW w:type="dxa" w:w="3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Threshold / behavior to ratify</w:t>
            </w:r>
          </w:p>
        </w:tc>
        <w:tc>
          <w:tcPr>
            <w:tcW w:type="dxa" w:w="14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If Needs-change: state the required change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VOICE_INPUT_ENABLED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Voice answers a free-text reflection; typing always available (equivalent typed path).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VOICE_INPUT_ON_DEVICE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On-device transcription; raw audio never uploaded/stored; only confirmed transcript kept (encrypted).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VOICE_INPUT_CONFIRM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Recognized text is shown editable; member confirms before it enters the record.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VOICE_INPUT_SCOPE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Voice only for free-text reflection — never SUDS, fit-screening, or any safety-gate input.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VOICE_INPUT_CONSENT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Distinct versioned voice/biometric consent + counsel review before non-demo use.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LIVE_SESSION_ENGINE_OWNS_FLOW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Responder returns words + at most a Ground-me hint; never continues a set / ends closure / overrides a stop.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LIVE_SESSION_CRISIS_SCRIPTED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REVISED: crisis checked first; deterministic (never AI). Response = present-safety clarification + verified jurisdiction-aware resources + emergency guidance for immediate danger + truthful notification status — not one universal 988 script.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LIVE_SESSION_BOUNDED_RESPONSE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Never instructs reprocessing, never claims feelings/outcomes; every line passes the output guard.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LIVE_SESSION_DEMO_GATED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Off for real members (demo/flag only); needs clinician sign-off + voice consent.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8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Additional notes for this group (optional): </w:t>
      </w: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</w:t>
      </w:r>
    </w:p>
    <w:p>
      <w:pPr>
        <w:spacing w:after="80" w:before="0" w:line="264"/>
      </w:pP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________________________________________________________________________________________________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3.4  Therapy knowledge-base retrieval guardrails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1560"/>
        <w:gridCol w:w="3560"/>
        <w:gridCol w:w="1440"/>
        <w:gridCol w:w="2800"/>
      </w:tblGrid>
      <w:tr>
        <w:trPr>
          <w:tblHeader/>
        </w:trPr>
        <w:tc>
          <w:tcPr>
            <w:tcW w:type="dxa" w:w="1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Rule ID</w:t>
            </w:r>
          </w:p>
        </w:tc>
        <w:tc>
          <w:tcPr>
            <w:tcW w:type="dxa" w:w="3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Threshold / behavior to ratify</w:t>
            </w:r>
          </w:p>
        </w:tc>
        <w:tc>
          <w:tcPr>
            <w:tcW w:type="dxa" w:w="144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If Needs-change: state the required change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KB_ADVISORY_ONLY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Therapy KB is advisory to phrasing only; never makes/changes a safety decision.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KB_TIER_GATED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Retrieval gated by member tier/state; crisis tier gets no KB content.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KB_OUTPUT_GUARDED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Every KB-informed line still passes the deterministic output guard.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KB_RESTRICTED_TOPICS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Restricted topics (reprocessing instructions, etc.) never retrievable.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KB_DETERMINISTIC_RETRIEVAL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Retrieval is deterministic (tier/activation/dissociation-gated), not model-chosen.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KB_AVOIDWHEN_ADVISORY</w:t>
            </w:r>
          </w:p>
        </w:tc>
        <w:tc>
          <w:tcPr>
            <w:tcW w:type="dxa" w:w="3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“Avoid-when” conditions on techniques are honored as hard filters.</w:t>
            </w:r>
          </w:p>
        </w:tc>
        <w:tc>
          <w:tcPr>
            <w:tcW w:type="dxa" w:w="144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6"/>
                <w:szCs w:val="16"/>
              </w:rPr>
              <w:t xml:space="preserve">KB_UNKNOWN_STATE_CONSERVATIVE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Unknown/missing state → most conservative retrieval (or none).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Agree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Needs-change</w:t>
            </w:r>
          </w:p>
        </w:tc>
        <w:tc>
          <w:tcPr>
            <w:tcW w:type="dxa" w:w="2800"/>
            <w:shd w:fill="FFFDE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8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Additional notes for this group (optional): </w:t>
      </w: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</w:t>
      </w:r>
    </w:p>
    <w:p>
      <w:pPr>
        <w:spacing w:after="80" w:before="0" w:line="264"/>
      </w:pP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________________________________________________________________________________________________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3.5  Human-in-the-loop checkpoints — confirm none is silently removed</w:t>
      </w:r>
    </w:p>
    <w:p>
      <w:pPr>
        <w:spacing w:after="60" w:before="0" w:line="264"/>
      </w:pPr>
      <w:r>
        <w:rPr>
          <w:rFonts w:ascii="Calibri" w:cs="Calibri" w:eastAsia="Calibri" w:hAnsi="Calibri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AI never determines crisis status, dissociation, readiness, emergency routing, stimulation parameters, or eligibility (structurally enforced).</w:t>
      </w:r>
    </w:p>
    <w:p>
      <w:pPr>
        <w:spacing w:after="60" w:before="0" w:line="264"/>
      </w:pPr>
      <w:r>
        <w:rPr>
          <w:rFonts w:ascii="Calibri" w:cs="Calibri" w:eastAsia="Calibri" w:hAnsi="Calibri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No autonomous emergency-services dispatch (out of scope for beta).</w:t>
      </w:r>
    </w:p>
    <w:p>
      <w:pPr>
        <w:spacing w:after="60" w:before="0" w:line="264"/>
      </w:pPr>
      <w:r>
        <w:rPr>
          <w:rFonts w:ascii="Calibri" w:cs="Calibri" w:eastAsia="Calibri" w:hAnsi="Calibri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Escalation never promises more human oversight than is actually staffed; never implies continuous monitoring.</w:t>
      </w:r>
    </w:p>
    <w:p>
      <w:pPr>
        <w:spacing w:after="60" w:before="0" w:line="264"/>
      </w:pPr>
      <w:r>
        <w:rPr>
          <w:rFonts w:ascii="Calibri" w:cs="Calibri" w:eastAsia="Calibri" w:hAnsi="Calibri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DES-II ≥ 30 / DSO-predominant / repeated re-entry failures route to a clinician pathway.</w:t>
      </w:r>
    </w:p>
    <w:p>
      <w:pPr>
        <w:spacing w:after="60" w:before="0" w:line="264"/>
      </w:pPr>
      <w:r>
        <w:rPr>
          <w:rFonts w:ascii="Calibri" w:cs="Calibri" w:eastAsia="Calibri" w:hAnsi="Calibri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Trait hard-stops (psychotic/dissociative dx, recent hospitalization, substance dependence) reversible only by support contact — never by re-answering.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Part 4 — Validation &amp; deployment evidence (ledger Section E)</w:t>
      </w:r>
    </w:p>
    <w:p>
      <w:pPr>
        <w:spacing w:after="80" w:before="0" w:line="264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These deliverables are produced outside the app. Record status and where the evidence lives.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900"/>
        <w:gridCol w:w="5560"/>
        <w:gridCol w:w="2900"/>
      </w:tblGrid>
      <w:tr>
        <w:trPr>
          <w:tblHeader/>
        </w:trPr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Sev.</w:t>
            </w:r>
          </w:p>
        </w:tc>
        <w:tc>
          <w:tcPr>
            <w:tcW w:type="dxa" w:w="556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Deployment / validation gate</w:t>
            </w:r>
          </w:p>
        </w:tc>
        <w:tc>
          <w:tcPr>
            <w:tcW w:type="dxa" w:w="2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+ evidence reference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Independent review by ≥ 2 licensed trauma clinicians of scope / thresholds / stop-rules / dissociation / crisis-routing / user language.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Evidence matrix mapping every parameter to supporting / absent evidence.</w:t>
            </w:r>
          </w:p>
        </w:tc>
        <w:tc>
          <w:tcPr>
            <w:tcW w:type="dxa" w:w="2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Clinical implementation spec (decision tables, state transitions, pseudocode, test cases).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Privacy / security review by qualified professionals (separate from clinical design).</w:t>
            </w:r>
          </w:p>
        </w:tc>
        <w:tc>
          <w:tcPr>
            <w:tcW w:type="dxa" w:w="2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🟡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Human-factors testing (comprehension, interruption recovery, behavior under stress).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🟡</w:t>
            </w:r>
          </w:p>
        </w:tc>
        <w:tc>
          <w:tcPr>
            <w:tcW w:type="dxa" w:w="5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Technical verification (deterministic routing, logging, crash recovery, regression).</w:t>
            </w:r>
          </w:p>
        </w:tc>
        <w:tc>
          <w:tcPr>
            <w:tcW w:type="dxa" w:w="2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Staged validation Phases 1→4 with predefined progression / stopping criteria.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Claims / communications review — preparation-only scope consistent across all channels.</w:t>
            </w:r>
          </w:p>
        </w:tc>
        <w:tc>
          <w:tcPr>
            <w:tcW w:type="dxa" w:w="2900"/>
            <w:shd w:fill="F0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🔴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Model safety gates + pilot entry: no unresolved critical red-team findings.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☐ Complete   ☐ Pending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5"/>
                <w:szCs w:val="15"/>
              </w:rPr>
              <w:t xml:space="preserve">Ref: ____________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2933"/>
        </w:rPr>
        <w:t xml:space="preserve">Part 5 — Attestation &amp; signatures</w:t>
      </w:r>
    </w:p>
    <w:p>
      <w:pPr>
        <w:spacing w:after="80" w:before="0" w:line="264"/>
      </w:pPr>
      <w:r>
        <w:rPr>
          <w:rFonts w:ascii="Calibri" w:cs="Calibri" w:eastAsia="Calibri" w:hAnsi="Calibri"/>
          <w:color w:val="1F2933"/>
          <w:sz w:val="20"/>
          <w:szCs w:val="20"/>
        </w:rPr>
        <w:t xml:space="preserve">By signing, each reviewer attests that: they are an independent, licensed clinician with trauma expertise; they have reviewed the scope, thresholds, stop-rules, dissociation handling, crisis routing, and member-facing language of the configuration named above; the “Agree” verdicts recorded here reflect their clinical judgment; and any “Needs-change” items must be resolved and re-reviewed before that rule governs a real member. This sign-off applies only to configuration version </w:t>
      </w: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beta-clinrev-2026-07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; any change to a signed value resets its sign-off.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color w:val="1F2933"/>
          <w:sz w:val="20"/>
          <w:szCs w:val="20"/>
        </w:rPr>
        <w:t xml:space="preserve">Overall determination:</w:t>
      </w:r>
    </w:p>
    <w:p>
      <w:pPr>
        <w:spacing w:after="60" w:before="0" w:line="264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Approved to proceed to staged activation (all 🔴 items resolved, all rules Agree).</w:t>
      </w:r>
    </w:p>
    <w:p>
      <w:pPr>
        <w:spacing w:after="60" w:before="0" w:line="264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Approved with conditions (list the blocking Needs-change / open items below).</w:t>
      </w:r>
    </w:p>
    <w:p>
      <w:pPr>
        <w:spacing w:after="60" w:before="0" w:line="264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933"/>
          <w:sz w:val="20"/>
          <w:szCs w:val="20"/>
        </w:rPr>
        <w:t xml:space="preserve">Not approved.</w:t>
      </w:r>
    </w:p>
    <w:p>
      <w:pPr>
        <w:spacing w:after="60" w:before="0" w:line="264"/>
      </w:pPr>
      <w:r>
        <w:rPr>
          <w:rFonts w:ascii="Calibri" w:cs="Calibri" w:eastAsia="Calibri" w:hAnsi="Calibri"/>
          <w:b/>
          <w:bCs/>
          <w:color w:val="5B6b7a"/>
          <w:sz w:val="18"/>
          <w:szCs w:val="18"/>
        </w:rPr>
        <w:t xml:space="preserve">Conditions / open items:  </w:t>
      </w: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</w:t>
      </w:r>
    </w:p>
    <w:p>
      <w:pPr>
        <w:spacing w:after="200" w:before="0" w:line="264"/>
      </w:pPr>
      <w:r>
        <w:rPr>
          <w:rFonts w:ascii="Calibri" w:cs="Calibri" w:eastAsia="Calibri" w:hAnsi="Calibri"/>
          <w:color w:val="9AA5B1"/>
          <w:sz w:val="20"/>
          <w:szCs w:val="20"/>
        </w:rPr>
        <w:t xml:space="preserve">________________________________________________________________________________________________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4560"/>
        <w:gridCol w:w="4800"/>
      </w:tblGrid>
      <w:tr>
        <w:tc>
          <w:tcPr>
            <w:tcW w:type="dxa" w:w="4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Reviewer 1 — signature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Printed name / license #</w:t>
            </w:r>
          </w:p>
        </w:tc>
      </w:tr>
      <w:tr>
        <w:tc>
          <w:tcPr>
            <w:tcW w:type="dxa" w:w="4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Date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Calibri" w:cs="Calibri" w:eastAsia="Calibri" w:hAnsi="Calibri"/>
          <w:color w:val="1F2933"/>
          <w:sz w:val="10"/>
          <w:szCs w:val="10"/>
        </w:rPr>
        <w:t xml:space="preserve"> </w:t>
      </w:r>
    </w:p>
    <w:tbl>
      <w:tblPr>
        <w:tblW w:type="dxa" w:w="9360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4"/>
          <w:insideV w:val="single" w:color="9AA5B1" w:sz="4"/>
        </w:tblBorders>
      </w:tblPr>
      <w:tblGrid>
        <w:gridCol w:w="4560"/>
        <w:gridCol w:w="4800"/>
      </w:tblGrid>
      <w:tr>
        <w:tc>
          <w:tcPr>
            <w:tcW w:type="dxa" w:w="4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Reviewer 2 — signature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Printed name / license #</w:t>
            </w:r>
          </w:p>
        </w:tc>
      </w:tr>
      <w:tr>
        <w:tc>
          <w:tcPr>
            <w:tcW w:type="dxa" w:w="456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________________________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5B6b7a"/>
                <w:sz w:val="16"/>
                <w:szCs w:val="16"/>
              </w:rPr>
              <w:t xml:space="preserve">Date</w:t>
            </w:r>
          </w:p>
        </w:tc>
        <w:tc>
          <w:tcPr>
            <w:tcW w:type="dxa" w:w="4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rFonts w:ascii="Calibri" w:cs="Calibri" w:eastAsia="Calibri" w:hAnsi="Calibri"/>
        <w:color w:val="5B6b7a"/>
        <w:sz w:val="14"/>
        <w:szCs w:val="14"/>
      </w:rPr>
      <w:t xml:space="preserve">Confidential clinical governance record — </w:t>
    </w:r>
    <w:r>
      <w:rPr>
        <w:rFonts w:ascii="Calibri" w:cs="Calibri" w:eastAsia="Calibri" w:hAnsi="Calibri"/>
        <w:color w:val="5B6b7a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5B6b7a"/>
        <w:sz w:val="14"/>
        <w:szCs w:val="14"/>
      </w:rPr>
      <w:t xml:space="preserve">Steady — Clinician Sign-Off Form  ·  beta-clinrev-2026-07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AA5B1" w:sz="8"/>
      </w:pBdr>
      <w:spacing w:after="140" w:before="280"/>
    </w:pPr>
    <w:rPr>
      <w:rFonts w:ascii="Calibri" w:cs="Calibri" w:eastAsia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F29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Steady Autonomous Safety — Clinician Sign-Off Form</dc:title>
  <dc:creator>Steady</dc:creator>
  <cp:lastModifiedBy>Un-named</cp:lastModifiedBy>
  <cp:revision>1</cp:revision>
  <dcterms:created xsi:type="dcterms:W3CDTF">2026-07-22T19:08:53.051Z</dcterms:created>
  <dcterms:modified xsi:type="dcterms:W3CDTF">2026-07-22T19:08:53.051Z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